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8" w:type="dxa"/>
        <w:tblInd w:w="80" w:type="dxa"/>
        <w:tblBorders>
          <w:top w:val="single" w:sz="36" w:space="0" w:color="009640"/>
          <w:left w:val="single" w:sz="36" w:space="0" w:color="009640"/>
          <w:bottom w:val="single" w:sz="36" w:space="0" w:color="009640"/>
          <w:right w:val="single" w:sz="36" w:space="0" w:color="009640"/>
          <w:insideH w:val="single" w:sz="6" w:space="0" w:color="009640"/>
          <w:insideV w:val="single" w:sz="12" w:space="0" w:color="00964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1858"/>
      </w:tblGrid>
      <w:tr w:rsidR="0085520A" w14:paraId="759A22C8" w14:textId="77777777" w:rsidTr="0087406B">
        <w:trPr>
          <w:trHeight w:val="1071"/>
        </w:trPr>
        <w:tc>
          <w:tcPr>
            <w:tcW w:w="1418" w:type="dxa"/>
            <w:tcMar>
              <w:top w:w="113" w:type="dxa"/>
              <w:left w:w="80" w:type="dxa"/>
              <w:bottom w:w="0" w:type="dxa"/>
              <w:right w:w="57" w:type="dxa"/>
            </w:tcMar>
          </w:tcPr>
          <w:p w14:paraId="07F7FED7" w14:textId="77777777" w:rsidR="00F44599" w:rsidRPr="0085520A" w:rsidRDefault="00F44599">
            <w:pPr>
              <w:pStyle w:val="Tabellentext785Inhalt"/>
              <w:rPr>
                <w:rFonts w:ascii="Arial" w:hAnsi="Arial" w:cs="Arial"/>
                <w:sz w:val="16"/>
                <w:szCs w:val="16"/>
              </w:rPr>
            </w:pPr>
            <w:r w:rsidRPr="0085520A">
              <w:rPr>
                <w:rFonts w:ascii="Arial" w:hAnsi="Arial" w:cs="Arial"/>
                <w:sz w:val="16"/>
                <w:szCs w:val="16"/>
              </w:rPr>
              <w:t>Firmenlogo</w:t>
            </w:r>
          </w:p>
        </w:tc>
        <w:tc>
          <w:tcPr>
            <w:tcW w:w="6662" w:type="dxa"/>
            <w:tcMar>
              <w:top w:w="0" w:type="dxa"/>
              <w:left w:w="80" w:type="dxa"/>
              <w:bottom w:w="57" w:type="dxa"/>
              <w:right w:w="57" w:type="dxa"/>
            </w:tcMar>
            <w:vAlign w:val="center"/>
          </w:tcPr>
          <w:p w14:paraId="4FF82E22" w14:textId="77777777" w:rsidR="00F44599" w:rsidRPr="0085520A" w:rsidRDefault="00F44599" w:rsidP="0087406B">
            <w:pPr>
              <w:pStyle w:val="TabellentextInhalt"/>
              <w:spacing w:after="120"/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85520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Betriebsanweisung</w:t>
            </w:r>
          </w:p>
          <w:p w14:paraId="7F0EB8BF" w14:textId="77777777" w:rsidR="00F44599" w:rsidRPr="0087406B" w:rsidRDefault="00F44599">
            <w:pPr>
              <w:pStyle w:val="Tabellentext785Inhalt"/>
              <w:jc w:val="center"/>
              <w:rPr>
                <w:sz w:val="20"/>
                <w:szCs w:val="20"/>
              </w:rPr>
            </w:pPr>
            <w:r w:rsidRPr="0087406B">
              <w:rPr>
                <w:rFonts w:ascii="Arial" w:hAnsi="Arial" w:cs="Arial"/>
                <w:sz w:val="20"/>
                <w:szCs w:val="20"/>
              </w:rPr>
              <w:t>für den Einsatz von Persönlichen Schutzausrüstungen</w:t>
            </w:r>
            <w:r w:rsidRPr="0087406B">
              <w:rPr>
                <w:rFonts w:ascii="Arial" w:hAnsi="Arial" w:cs="Arial"/>
                <w:sz w:val="20"/>
                <w:szCs w:val="20"/>
              </w:rPr>
              <w:br/>
              <w:t>nach DGUV Regel 112-195 „Benutzung von Schutzhandschuhen“</w:t>
            </w:r>
            <w:r w:rsidRPr="008740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Mar>
              <w:top w:w="113" w:type="dxa"/>
              <w:left w:w="80" w:type="dxa"/>
              <w:bottom w:w="57" w:type="dxa"/>
              <w:right w:w="57" w:type="dxa"/>
            </w:tcMar>
          </w:tcPr>
          <w:p w14:paraId="72D274E4" w14:textId="77777777" w:rsidR="00F44599" w:rsidRPr="007E7B10" w:rsidRDefault="00F44599">
            <w:pPr>
              <w:pStyle w:val="Tabellentext785Inhalt"/>
              <w:jc w:val="center"/>
              <w:rPr>
                <w:rFonts w:ascii="Arial" w:hAnsi="Arial" w:cs="Arial"/>
              </w:rPr>
            </w:pPr>
            <w:r w:rsidRPr="007E7B10">
              <w:rPr>
                <w:rStyle w:val="medium"/>
                <w:rFonts w:ascii="Arial" w:hAnsi="Arial" w:cs="Arial"/>
              </w:rPr>
              <w:t>Stand:</w:t>
            </w:r>
          </w:p>
          <w:p w14:paraId="0EDB3243" w14:textId="1AF8182E" w:rsidR="00F44599" w:rsidRPr="007E7B10" w:rsidRDefault="00BC1B7C">
            <w:pPr>
              <w:pStyle w:val="Tabellentext785Inha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TT.MM.JJJJ</w:t>
            </w:r>
          </w:p>
          <w:p w14:paraId="0A23E951" w14:textId="7B2BF936" w:rsidR="00F44599" w:rsidRPr="007E7B10" w:rsidRDefault="0087406B" w:rsidP="0087406B">
            <w:pPr>
              <w:pStyle w:val="Tabellentext785Inhalt"/>
              <w:jc w:val="center"/>
              <w:rPr>
                <w:rFonts w:ascii="Arial" w:hAnsi="Arial" w:cs="Arial"/>
              </w:rPr>
            </w:pPr>
            <w:r w:rsidRPr="007E7B10">
              <w:rPr>
                <w:rFonts w:ascii="Arial" w:hAnsi="Arial" w:cs="Arial"/>
              </w:rPr>
              <w:br/>
            </w:r>
          </w:p>
          <w:p w14:paraId="1EBA8C03" w14:textId="77777777" w:rsidR="00F44599" w:rsidRDefault="00F44599">
            <w:pPr>
              <w:pStyle w:val="Tabellentext785Inhalt"/>
              <w:pBdr>
                <w:top w:val="single" w:sz="2" w:space="8" w:color="auto"/>
              </w:pBdr>
              <w:jc w:val="center"/>
            </w:pPr>
            <w:r w:rsidRPr="007E7B10">
              <w:rPr>
                <w:rFonts w:ascii="Arial" w:hAnsi="Arial" w:cs="Arial"/>
              </w:rPr>
              <w:t>Unterschrift</w:t>
            </w:r>
          </w:p>
        </w:tc>
      </w:tr>
      <w:tr w:rsidR="0085520A" w14:paraId="591A7AB5" w14:textId="77777777" w:rsidTr="0085520A">
        <w:trPr>
          <w:trHeight w:val="60"/>
        </w:trPr>
        <w:tc>
          <w:tcPr>
            <w:tcW w:w="9938" w:type="dxa"/>
            <w:gridSpan w:val="3"/>
            <w:shd w:val="solid" w:color="009640" w:fill="auto"/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5354EBD" w14:textId="77777777" w:rsidR="00F44599" w:rsidRPr="0085520A" w:rsidRDefault="00F44599" w:rsidP="0085520A">
            <w:pPr>
              <w:pStyle w:val="HeadlinesInhalt"/>
            </w:pPr>
            <w:r w:rsidRPr="0085520A">
              <w:t xml:space="preserve">ART DER PERSÖNLICHEN SCHUTZAUSRÜSTUNGEN </w:t>
            </w:r>
          </w:p>
        </w:tc>
      </w:tr>
      <w:tr w:rsidR="0085520A" w14:paraId="6EE27EBE" w14:textId="77777777" w:rsidTr="0085520A">
        <w:trPr>
          <w:trHeight w:val="527"/>
        </w:trPr>
        <w:tc>
          <w:tcPr>
            <w:tcW w:w="9938" w:type="dxa"/>
            <w:gridSpan w:val="3"/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7E2479F" w14:textId="77777777" w:rsidR="0085520A" w:rsidRPr="0085520A" w:rsidRDefault="0085520A" w:rsidP="0085520A">
            <w:pPr>
              <w:pStyle w:val="KeinAbsatzformat"/>
              <w:spacing w:before="160"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5520A">
              <w:rPr>
                <w:rStyle w:val="Bold"/>
                <w:rFonts w:ascii="Arial" w:hAnsi="Arial" w:cs="Arial"/>
                <w:sz w:val="20"/>
                <w:szCs w:val="20"/>
              </w:rPr>
              <w:t>Chemikalienschutzhandschuhe (CSH)</w:t>
            </w:r>
          </w:p>
        </w:tc>
      </w:tr>
      <w:tr w:rsidR="0085520A" w14:paraId="6822DAD2" w14:textId="77777777" w:rsidTr="0085520A">
        <w:trPr>
          <w:trHeight w:val="60"/>
        </w:trPr>
        <w:tc>
          <w:tcPr>
            <w:tcW w:w="9938" w:type="dxa"/>
            <w:gridSpan w:val="3"/>
            <w:shd w:val="solid" w:color="009640" w:fill="auto"/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02253304" w14:textId="77777777" w:rsidR="00F44599" w:rsidRDefault="0085520A" w:rsidP="0085520A">
            <w:pPr>
              <w:pStyle w:val="HeadlinesInhalt"/>
            </w:pPr>
            <w:r>
              <w:t>SCHUTZZIELE</w:t>
            </w:r>
          </w:p>
        </w:tc>
      </w:tr>
      <w:tr w:rsidR="0085520A" w14:paraId="4C4529FB" w14:textId="77777777" w:rsidTr="0085520A">
        <w:trPr>
          <w:trHeight w:val="60"/>
        </w:trPr>
        <w:tc>
          <w:tcPr>
            <w:tcW w:w="1418" w:type="dxa"/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1C31973D" w14:textId="77777777" w:rsidR="00F44599" w:rsidRDefault="00F44599">
            <w:pPr>
              <w:pStyle w:val="Tabellentext8ptInhalt"/>
              <w:spacing w:after="57"/>
              <w:jc w:val="center"/>
            </w:pPr>
            <w:r>
              <w:rPr>
                <w:noProof/>
              </w:rPr>
              <w:drawing>
                <wp:inline distT="0" distB="0" distL="0" distR="0" wp14:anchorId="71F31D9E" wp14:editId="16C4399A">
                  <wp:extent cx="538385" cy="53838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47" cy="53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gridSpan w:val="2"/>
            <w:tcMar>
              <w:top w:w="91" w:type="dxa"/>
              <w:left w:w="79" w:type="dxa"/>
              <w:bottom w:w="91" w:type="dxa"/>
              <w:right w:w="113" w:type="dxa"/>
            </w:tcMar>
          </w:tcPr>
          <w:p w14:paraId="3583CDB0" w14:textId="77777777" w:rsidR="00F44599" w:rsidRDefault="00F44599">
            <w:pPr>
              <w:pStyle w:val="Tabellentext10BulletInhalt"/>
            </w:pPr>
            <w:r>
              <w:t>Verhinderung von Gefährdungen durch Kontakt der Hände mit Gefahrstoffen.</w:t>
            </w:r>
          </w:p>
          <w:p w14:paraId="1C769A34" w14:textId="77777777" w:rsidR="00F44599" w:rsidRDefault="00F44599">
            <w:pPr>
              <w:pStyle w:val="Tabellentext10BulletInhalt"/>
            </w:pPr>
            <w:r>
              <w:t xml:space="preserve">Verhinderung von Gefährdungen durch Hautkontakt mit biologischen Arbeitsstoffen. </w:t>
            </w:r>
          </w:p>
          <w:p w14:paraId="0D067863" w14:textId="77777777" w:rsidR="00F44599" w:rsidRDefault="00F44599">
            <w:pPr>
              <w:pStyle w:val="Tabellentext10BulletInhalt"/>
            </w:pPr>
            <w:r>
              <w:t>Verhinderung von allgemeinen Verschmutzungen der Hände, z. B. durch Lacke, Farben.</w:t>
            </w:r>
          </w:p>
        </w:tc>
      </w:tr>
      <w:tr w:rsidR="0085520A" w14:paraId="05766323" w14:textId="77777777" w:rsidTr="0085520A">
        <w:trPr>
          <w:trHeight w:val="60"/>
        </w:trPr>
        <w:tc>
          <w:tcPr>
            <w:tcW w:w="9938" w:type="dxa"/>
            <w:gridSpan w:val="3"/>
            <w:shd w:val="solid" w:color="009640" w:fill="auto"/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14686EFC" w14:textId="77777777" w:rsidR="00F44599" w:rsidRDefault="0085520A" w:rsidP="0087406B">
            <w:pPr>
              <w:pStyle w:val="HeadlinesInhalt"/>
            </w:pPr>
            <w:r>
              <w:t>AN- UND ABLEGEN</w:t>
            </w:r>
          </w:p>
        </w:tc>
      </w:tr>
      <w:tr w:rsidR="0085520A" w14:paraId="7619B1D9" w14:textId="77777777" w:rsidTr="0085520A">
        <w:trPr>
          <w:trHeight w:val="264"/>
        </w:trPr>
        <w:tc>
          <w:tcPr>
            <w:tcW w:w="1418" w:type="dxa"/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29C5E1ED" w14:textId="77777777" w:rsidR="00F44599" w:rsidRDefault="00F44599">
            <w:pPr>
              <w:pStyle w:val="LegendeInhalt"/>
            </w:pPr>
            <w:r>
              <w:rPr>
                <w:noProof/>
              </w:rPr>
              <w:drawing>
                <wp:inline distT="0" distB="0" distL="0" distR="0" wp14:anchorId="00E27E86" wp14:editId="0C1C894A">
                  <wp:extent cx="581114" cy="581114"/>
                  <wp:effectExtent l="0" t="0" r="3175" b="317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777" cy="58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gridSpan w:val="2"/>
            <w:tcMar>
              <w:top w:w="91" w:type="dxa"/>
              <w:left w:w="80" w:type="dxa"/>
              <w:bottom w:w="91" w:type="dxa"/>
              <w:right w:w="113" w:type="dxa"/>
            </w:tcMar>
          </w:tcPr>
          <w:p w14:paraId="2778FB05" w14:textId="77777777" w:rsidR="00F44599" w:rsidRDefault="00F44599">
            <w:pPr>
              <w:pStyle w:val="Tabellentext10BulletInhalt"/>
            </w:pPr>
            <w:r>
              <w:t xml:space="preserve">Handschuhe vor dem Anlegen auf Materialveränderungen, Beschädigungen und Undichtigkeiten prüfen. </w:t>
            </w:r>
          </w:p>
          <w:p w14:paraId="6742B1F3" w14:textId="77777777" w:rsidR="00F44599" w:rsidRDefault="00F44599">
            <w:pPr>
              <w:pStyle w:val="Tabellentext10BulletInhalt"/>
            </w:pPr>
            <w:r>
              <w:t xml:space="preserve">Gebrauchte CSH aus hygienischen Gründen nicht mit dem Mund aufblasen. </w:t>
            </w:r>
          </w:p>
          <w:p w14:paraId="04B1ADE5" w14:textId="77777777" w:rsidR="00F44599" w:rsidRDefault="00F44599">
            <w:pPr>
              <w:pStyle w:val="Tabellentext10BulletInhalt"/>
            </w:pPr>
            <w:r>
              <w:t xml:space="preserve">CSH nur mit sauberen und trockenen Händen anziehen. Vor dem Anziehen Ringe, Armbänder usw. ablegen. Fingernägel dürfen keine Gefahr für CSH darstellen. </w:t>
            </w:r>
          </w:p>
          <w:p w14:paraId="2F68CBE9" w14:textId="77777777" w:rsidR="00F44599" w:rsidRDefault="00F44599">
            <w:pPr>
              <w:pStyle w:val="Tabellentext10BulletInhalt"/>
            </w:pPr>
            <w:r>
              <w:t xml:space="preserve">Beim Anlegen überdehnen vermeiden. </w:t>
            </w:r>
          </w:p>
          <w:p w14:paraId="62637971" w14:textId="77777777" w:rsidR="00F44599" w:rsidRDefault="00F44599">
            <w:pPr>
              <w:pStyle w:val="Tabellentext10BulletInhalt"/>
            </w:pPr>
            <w:r>
              <w:t xml:space="preserve">Stulpenrand der CSH umschlagen, um mögliches Einfließen von Flüssigkeit zu verhindern. </w:t>
            </w:r>
          </w:p>
          <w:p w14:paraId="1D36CF0D" w14:textId="77777777" w:rsidR="00F44599" w:rsidRDefault="00F44599">
            <w:pPr>
              <w:pStyle w:val="Tabellentext10BulletInhalt"/>
            </w:pPr>
            <w:r>
              <w:t xml:space="preserve">Vor dem Ausziehen kontaminierte CSH je nach Gefahrstoff mit Papiertüchern abwischen oder unter fließendem Wasser abspülen. Die Herstellerinformation gibt Hinweise zu möglichen Reinigungsmitteln und Methoden der Dekontamination. </w:t>
            </w:r>
          </w:p>
          <w:p w14:paraId="5AB1E7E2" w14:textId="77777777" w:rsidR="00F44599" w:rsidRDefault="00F44599">
            <w:pPr>
              <w:pStyle w:val="Tabellentext10BulletInhalt"/>
            </w:pPr>
            <w:r>
              <w:t xml:space="preserve">Beim Ablegen nicht mit kontaminierten Fingern die Handschuhinnenseite berühren, </w:t>
            </w:r>
            <w:r>
              <w:br/>
            </w:r>
            <w:proofErr w:type="gramStart"/>
            <w:r>
              <w:t>insbesondere</w:t>
            </w:r>
            <w:proofErr w:type="gramEnd"/>
            <w:r>
              <w:t xml:space="preserve"> wenn die CSH wiederverwendet werden sollen. </w:t>
            </w:r>
          </w:p>
        </w:tc>
      </w:tr>
      <w:tr w:rsidR="0085520A" w14:paraId="7CCCB969" w14:textId="77777777" w:rsidTr="0085520A">
        <w:trPr>
          <w:trHeight w:val="60"/>
        </w:trPr>
        <w:tc>
          <w:tcPr>
            <w:tcW w:w="9938" w:type="dxa"/>
            <w:gridSpan w:val="3"/>
            <w:shd w:val="solid" w:color="009640" w:fill="auto"/>
            <w:tcMar>
              <w:top w:w="57" w:type="dxa"/>
              <w:left w:w="80" w:type="dxa"/>
              <w:bottom w:w="57" w:type="dxa"/>
              <w:right w:w="57" w:type="dxa"/>
            </w:tcMar>
            <w:vAlign w:val="center"/>
          </w:tcPr>
          <w:p w14:paraId="52C8CF7C" w14:textId="77777777" w:rsidR="00F44599" w:rsidRDefault="00F44599" w:rsidP="0085520A">
            <w:pPr>
              <w:pStyle w:val="HeadlinesInhalt"/>
            </w:pPr>
            <w:r>
              <w:t xml:space="preserve">EINSATZ UND VERHALTENSREGELN </w:t>
            </w:r>
          </w:p>
        </w:tc>
      </w:tr>
      <w:tr w:rsidR="0085520A" w14:paraId="42FF55DF" w14:textId="77777777" w:rsidTr="0085520A">
        <w:trPr>
          <w:trHeight w:val="907"/>
        </w:trPr>
        <w:tc>
          <w:tcPr>
            <w:tcW w:w="1418" w:type="dxa"/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54F1EA87" w14:textId="77777777" w:rsidR="00F44599" w:rsidRDefault="00F44599">
            <w:pPr>
              <w:pStyle w:val="KeinAbsatzformat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520" w:type="dxa"/>
            <w:gridSpan w:val="2"/>
            <w:tcMar>
              <w:top w:w="91" w:type="dxa"/>
              <w:left w:w="80" w:type="dxa"/>
              <w:bottom w:w="91" w:type="dxa"/>
              <w:right w:w="113" w:type="dxa"/>
            </w:tcMar>
          </w:tcPr>
          <w:p w14:paraId="5FBF20C5" w14:textId="77777777" w:rsidR="00F44599" w:rsidRDefault="00F44599">
            <w:pPr>
              <w:pStyle w:val="Tabellentext10BulletInhalt"/>
            </w:pPr>
            <w:r>
              <w:t xml:space="preserve">Bei Tätigkeiten mit Gefahrstoffen den in der Gefahrstoff-Betriebsanweisung und dem Hand- </w:t>
            </w:r>
            <w:r>
              <w:br/>
              <w:t xml:space="preserve">und Hautschutzplan festgelegten CSH benutzen. </w:t>
            </w:r>
          </w:p>
          <w:p w14:paraId="42591CB4" w14:textId="77777777" w:rsidR="00F44599" w:rsidRDefault="00F44599">
            <w:pPr>
              <w:pStyle w:val="Tabellentext10BulletInhalt"/>
            </w:pPr>
            <w:r>
              <w:t xml:space="preserve">Bei der Arbeit darauf achten, dass die CSH nicht durch Stiche oder Schnitte beschädigt </w:t>
            </w:r>
            <w:r>
              <w:br/>
              <w:t xml:space="preserve">und dadurch unbrauchbar werden. </w:t>
            </w:r>
          </w:p>
          <w:p w14:paraId="6FAEF7E2" w14:textId="77777777" w:rsidR="00F44599" w:rsidRDefault="00F44599">
            <w:pPr>
              <w:pStyle w:val="Tabellentext10BulletInhalt"/>
            </w:pPr>
            <w:r>
              <w:t xml:space="preserve">Der Gefahrstoffkontakt darf die in der Gefahrstoff-Betriebsanweisung festgelegte Tragedauer nicht überschreiten.  </w:t>
            </w:r>
          </w:p>
          <w:p w14:paraId="266898C8" w14:textId="77777777" w:rsidR="00F44599" w:rsidRDefault="00F44599">
            <w:pPr>
              <w:pStyle w:val="Tabellentext10BulletInhalt"/>
            </w:pPr>
            <w:r>
              <w:t xml:space="preserve">Nach längeren Tragezeiten innen schweißfeuchte CSH gegen ein neues Paar austauschen. </w:t>
            </w:r>
          </w:p>
          <w:p w14:paraId="15B9F7EA" w14:textId="77777777" w:rsidR="00F44599" w:rsidRDefault="00F44599">
            <w:pPr>
              <w:pStyle w:val="Tabellentext10BulletInhalt"/>
            </w:pPr>
            <w:r>
              <w:t xml:space="preserve">Mit kontaminierten CSH keine Türklinken, Telefone, Tastaturen usw. berühren, die üblicherweise ohne Handschuhe angefasst werden. </w:t>
            </w:r>
          </w:p>
          <w:p w14:paraId="1A689BE2" w14:textId="77777777" w:rsidR="00F44599" w:rsidRDefault="00F44599">
            <w:pPr>
              <w:pStyle w:val="Tabellentext10BulletInhalt"/>
            </w:pPr>
            <w:r>
              <w:t>Bei Einzugsgefahr, z. B. drehenden Teilen, keine CSH tragen.</w:t>
            </w:r>
          </w:p>
          <w:p w14:paraId="3A30F8B4" w14:textId="77777777" w:rsidR="00F44599" w:rsidRDefault="00F44599">
            <w:pPr>
              <w:pStyle w:val="Tabellentext10BulletInhalt"/>
            </w:pPr>
            <w:r>
              <w:t xml:space="preserve">Zur Weiterverwendung vorgesehene CSH zum Trocknen des Innenteils offen aufhängen. </w:t>
            </w:r>
          </w:p>
          <w:p w14:paraId="03C1F5CC" w14:textId="77777777" w:rsidR="00F44599" w:rsidRDefault="00F44599">
            <w:pPr>
              <w:pStyle w:val="Tabellentext10BulletInhalt"/>
            </w:pPr>
            <w:r>
              <w:t xml:space="preserve">Nach Tätigkeiten mit CSH Hände waschen, abtrocknen und mit Hautpflegemittel eincremen. </w:t>
            </w:r>
          </w:p>
        </w:tc>
      </w:tr>
      <w:tr w:rsidR="0085520A" w14:paraId="5F661857" w14:textId="77777777" w:rsidTr="0085520A">
        <w:trPr>
          <w:trHeight w:val="177"/>
        </w:trPr>
        <w:tc>
          <w:tcPr>
            <w:tcW w:w="9938" w:type="dxa"/>
            <w:gridSpan w:val="3"/>
            <w:shd w:val="solid" w:color="009640" w:fill="auto"/>
            <w:tcMar>
              <w:top w:w="57" w:type="dxa"/>
              <w:left w:w="80" w:type="dxa"/>
              <w:bottom w:w="57" w:type="dxa"/>
              <w:right w:w="57" w:type="dxa"/>
            </w:tcMar>
            <w:vAlign w:val="center"/>
          </w:tcPr>
          <w:p w14:paraId="588E1FC8" w14:textId="77777777" w:rsidR="00F44599" w:rsidRDefault="00F44599" w:rsidP="0085520A">
            <w:pPr>
              <w:pStyle w:val="HeadlinesInhalt"/>
            </w:pPr>
            <w:r>
              <w:t xml:space="preserve">VERHALTEN BEI MÄNGELN </w:t>
            </w:r>
          </w:p>
        </w:tc>
      </w:tr>
      <w:tr w:rsidR="0085520A" w14:paraId="412CCDC4" w14:textId="77777777" w:rsidTr="0085520A">
        <w:trPr>
          <w:trHeight w:val="651"/>
        </w:trPr>
        <w:tc>
          <w:tcPr>
            <w:tcW w:w="1418" w:type="dxa"/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AC0B5E4" w14:textId="77777777" w:rsidR="00F44599" w:rsidRDefault="00F44599">
            <w:pPr>
              <w:pStyle w:val="KeinAbsatzformat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520" w:type="dxa"/>
            <w:gridSpan w:val="2"/>
            <w:tcMar>
              <w:top w:w="91" w:type="dxa"/>
              <w:left w:w="80" w:type="dxa"/>
              <w:bottom w:w="91" w:type="dxa"/>
              <w:right w:w="113" w:type="dxa"/>
            </w:tcMar>
          </w:tcPr>
          <w:p w14:paraId="7E0EE86E" w14:textId="77777777" w:rsidR="00F44599" w:rsidRDefault="00F44599">
            <w:pPr>
              <w:pStyle w:val="Tabellentext10BulletInhalt"/>
            </w:pPr>
            <w:r>
              <w:t xml:space="preserve">Überlagerte oder brüchig gewordene CSH nicht verwenden. </w:t>
            </w:r>
          </w:p>
          <w:p w14:paraId="1CF7C6CA" w14:textId="77777777" w:rsidR="00F44599" w:rsidRDefault="00F44599">
            <w:pPr>
              <w:pStyle w:val="Tabellentext10BulletInhalt"/>
            </w:pPr>
            <w:r>
              <w:t xml:space="preserve">CSH mit augenscheinlichen Mängeln nicht einsetzen. </w:t>
            </w:r>
          </w:p>
          <w:p w14:paraId="6891EC8D" w14:textId="77777777" w:rsidR="00F44599" w:rsidRDefault="00F44599">
            <w:pPr>
              <w:pStyle w:val="Tabellentext10BulletInhalt"/>
            </w:pPr>
            <w:r>
              <w:t>Kontaminierte oder stark verschmutzte CSH in Behälter B entsorgen.</w:t>
            </w:r>
          </w:p>
        </w:tc>
      </w:tr>
      <w:tr w:rsidR="0085520A" w14:paraId="6F5E6D4E" w14:textId="77777777" w:rsidTr="0085520A">
        <w:trPr>
          <w:trHeight w:val="60"/>
        </w:trPr>
        <w:tc>
          <w:tcPr>
            <w:tcW w:w="9938" w:type="dxa"/>
            <w:gridSpan w:val="3"/>
            <w:shd w:val="solid" w:color="009640" w:fill="auto"/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EDEAB4C" w14:textId="77777777" w:rsidR="00F44599" w:rsidRDefault="00F44599" w:rsidP="0085520A">
            <w:pPr>
              <w:pStyle w:val="HeadlinesInhalt"/>
            </w:pPr>
            <w:r>
              <w:t xml:space="preserve">LAGERUNG, REINIGUNG UND PFLEGE </w:t>
            </w:r>
          </w:p>
        </w:tc>
      </w:tr>
      <w:tr w:rsidR="0085520A" w14:paraId="381D3F57" w14:textId="77777777" w:rsidTr="0085520A">
        <w:trPr>
          <w:trHeight w:val="491"/>
        </w:trPr>
        <w:tc>
          <w:tcPr>
            <w:tcW w:w="1418" w:type="dxa"/>
            <w:tcMar>
              <w:top w:w="57" w:type="dxa"/>
              <w:left w:w="80" w:type="dxa"/>
              <w:bottom w:w="113" w:type="dxa"/>
              <w:right w:w="57" w:type="dxa"/>
            </w:tcMar>
          </w:tcPr>
          <w:p w14:paraId="14943C5B" w14:textId="77777777" w:rsidR="00F44599" w:rsidRDefault="00F44599">
            <w:pPr>
              <w:pStyle w:val="KeinAbsatzformat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520" w:type="dxa"/>
            <w:gridSpan w:val="2"/>
            <w:tcMar>
              <w:top w:w="91" w:type="dxa"/>
              <w:left w:w="80" w:type="dxa"/>
              <w:bottom w:w="91" w:type="dxa"/>
              <w:right w:w="113" w:type="dxa"/>
            </w:tcMar>
          </w:tcPr>
          <w:p w14:paraId="15DC1BA5" w14:textId="651C4AC2" w:rsidR="00F44599" w:rsidRDefault="00F44599">
            <w:pPr>
              <w:pStyle w:val="Tabellentext10BulletInhalt"/>
            </w:pPr>
            <w:r>
              <w:t>CSH in einem belüfteten Raum, in der Originalverpackung, geschützt vor Sonnen</w:t>
            </w:r>
            <w:r w:rsidR="007E7B10">
              <w:t>-</w:t>
            </w:r>
            <w:r>
              <w:t xml:space="preserve">einstrahlung, UV-Licht und Wärmequellen lagern. </w:t>
            </w:r>
          </w:p>
        </w:tc>
      </w:tr>
    </w:tbl>
    <w:p w14:paraId="5513C180" w14:textId="77777777" w:rsidR="004F2F4C" w:rsidRDefault="004F2F4C"/>
    <w:sectPr w:rsidR="004F2F4C" w:rsidSect="0085520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GUVMeta-Normal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GUVMeta-Normal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GUVMet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8AA"/>
    <w:multiLevelType w:val="hybridMultilevel"/>
    <w:tmpl w:val="F11A3B8C"/>
    <w:lvl w:ilvl="0" w:tplc="CB5E4B24">
      <w:start w:val="1"/>
      <w:numFmt w:val="bullet"/>
      <w:pStyle w:val="Tabellentext10BulletInhal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33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95406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4326059">
    <w:abstractNumId w:val="1"/>
  </w:num>
  <w:num w:numId="2" w16cid:durableId="1422484275">
    <w:abstractNumId w:val="2"/>
  </w:num>
  <w:num w:numId="3" w16cid:durableId="32343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99"/>
    <w:rsid w:val="002C0A74"/>
    <w:rsid w:val="00394C87"/>
    <w:rsid w:val="004F2F4C"/>
    <w:rsid w:val="005C05A6"/>
    <w:rsid w:val="007E7B10"/>
    <w:rsid w:val="00817CE7"/>
    <w:rsid w:val="0085520A"/>
    <w:rsid w:val="0087406B"/>
    <w:rsid w:val="009F62AD"/>
    <w:rsid w:val="00BC1B7C"/>
    <w:rsid w:val="00EA5587"/>
    <w:rsid w:val="00F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ADAE3"/>
  <w14:defaultImageDpi w14:val="300"/>
  <w15:docId w15:val="{95AAFA0D-66C4-4D82-81B5-BAA16395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0A74"/>
    <w:pPr>
      <w:spacing w:after="320" w:line="360" w:lineRule="exact"/>
      <w:jc w:val="both"/>
    </w:pPr>
    <w:rPr>
      <w:rFonts w:ascii="Arial" w:hAnsi="Arial" w:cs="Arial"/>
      <w:sz w:val="22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F62AD"/>
    <w:rPr>
      <w:rFonts w:ascii="Arial" w:hAnsi="Arial"/>
      <w:sz w:val="16"/>
    </w:rPr>
  </w:style>
  <w:style w:type="paragraph" w:customStyle="1" w:styleId="Tabellenkopf">
    <w:name w:val="Tabellenkopf"/>
    <w:qFormat/>
    <w:rsid w:val="005C05A6"/>
    <w:pPr>
      <w:spacing w:after="160" w:line="259" w:lineRule="auto"/>
    </w:pPr>
    <w:rPr>
      <w:rFonts w:ascii="Arial" w:eastAsiaTheme="minorHAnsi" w:hAnsi="Arial"/>
      <w:b/>
      <w:color w:val="FFFFFF" w:themeColor="background1"/>
      <w:sz w:val="20"/>
      <w:szCs w:val="22"/>
      <w:lang w:eastAsia="en-US"/>
    </w:rPr>
  </w:style>
  <w:style w:type="paragraph" w:customStyle="1" w:styleId="Tabellentext">
    <w:name w:val="Tabellentext"/>
    <w:qFormat/>
    <w:rsid w:val="005C05A6"/>
    <w:pPr>
      <w:spacing w:after="160" w:line="259" w:lineRule="auto"/>
    </w:pPr>
    <w:rPr>
      <w:rFonts w:ascii="Arial" w:eastAsiaTheme="minorHAnsi" w:hAnsi="Arial"/>
      <w:b/>
      <w:sz w:val="2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C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CE7"/>
    <w:rPr>
      <w:rFonts w:ascii="Lucida Grande" w:hAnsi="Lucida Grande" w:cs="Lucida Grande"/>
      <w:sz w:val="18"/>
      <w:szCs w:val="18"/>
      <w:lang w:eastAsia="ja-JP"/>
    </w:rPr>
  </w:style>
  <w:style w:type="numbering" w:styleId="111111">
    <w:name w:val="Outline List 2"/>
    <w:basedOn w:val="KeineListe"/>
    <w:uiPriority w:val="99"/>
    <w:semiHidden/>
    <w:unhideWhenUsed/>
    <w:rsid w:val="00394C87"/>
    <w:pPr>
      <w:numPr>
        <w:numId w:val="2"/>
      </w:numPr>
    </w:pPr>
  </w:style>
  <w:style w:type="paragraph" w:customStyle="1" w:styleId="KeinAbsatzformat">
    <w:name w:val="[Kein Absatzformat]"/>
    <w:rsid w:val="00F445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DGUVMeta-Normal" w:hAnsi="DGUVMeta-Normal" w:cs="Times New Roman"/>
      <w:color w:val="000000"/>
    </w:rPr>
  </w:style>
  <w:style w:type="paragraph" w:customStyle="1" w:styleId="Tabellentext785Inhalt">
    <w:name w:val="Tabellentext 7_8.5 (Inhalt)"/>
    <w:basedOn w:val="KeinAbsatzformat"/>
    <w:uiPriority w:val="99"/>
    <w:rsid w:val="00F44599"/>
    <w:pPr>
      <w:tabs>
        <w:tab w:val="left" w:pos="170"/>
      </w:tabs>
      <w:spacing w:line="170" w:lineRule="atLeast"/>
    </w:pPr>
    <w:rPr>
      <w:rFonts w:cs="DGUVMeta-Normal"/>
      <w:sz w:val="14"/>
      <w:szCs w:val="14"/>
    </w:rPr>
  </w:style>
  <w:style w:type="paragraph" w:customStyle="1" w:styleId="TabellentextInhalt">
    <w:name w:val="Tabellentext (Inhalt)"/>
    <w:basedOn w:val="KeinAbsatzformat"/>
    <w:uiPriority w:val="99"/>
    <w:rsid w:val="00F44599"/>
    <w:pPr>
      <w:spacing w:line="240" w:lineRule="atLeast"/>
    </w:pPr>
    <w:rPr>
      <w:rFonts w:cs="DGUVMeta-Normal"/>
      <w:sz w:val="18"/>
      <w:szCs w:val="18"/>
    </w:rPr>
  </w:style>
  <w:style w:type="paragraph" w:customStyle="1" w:styleId="HeadlinesInhalt">
    <w:name w:val="Headlines (Inhalt)"/>
    <w:basedOn w:val="KeinAbsatzformat"/>
    <w:autoRedefine/>
    <w:uiPriority w:val="99"/>
    <w:rsid w:val="0085520A"/>
    <w:pPr>
      <w:spacing w:line="160" w:lineRule="atLeast"/>
      <w:jc w:val="center"/>
    </w:pPr>
    <w:rPr>
      <w:rFonts w:ascii="Arial" w:hAnsi="Arial" w:cs="Arial"/>
      <w:b/>
      <w:bCs/>
      <w:color w:val="FFFFFF"/>
      <w:spacing w:val="6"/>
      <w:sz w:val="18"/>
      <w:szCs w:val="18"/>
    </w:rPr>
  </w:style>
  <w:style w:type="paragraph" w:customStyle="1" w:styleId="Tabellentext8ptInhalt">
    <w:name w:val="Tabellentext 8 pt (Inhalt)"/>
    <w:basedOn w:val="KeinAbsatzformat"/>
    <w:uiPriority w:val="99"/>
    <w:rsid w:val="00F44599"/>
    <w:pPr>
      <w:spacing w:line="200" w:lineRule="atLeast"/>
    </w:pPr>
    <w:rPr>
      <w:rFonts w:cs="DGUVMeta-Normal"/>
      <w:sz w:val="16"/>
      <w:szCs w:val="16"/>
    </w:rPr>
  </w:style>
  <w:style w:type="paragraph" w:customStyle="1" w:styleId="Tabellentext10BulletInhalt">
    <w:name w:val="Tabellentext 10° Bullet (Inhalt)"/>
    <w:basedOn w:val="KeinAbsatzformat"/>
    <w:uiPriority w:val="99"/>
    <w:rsid w:val="0085520A"/>
    <w:pPr>
      <w:numPr>
        <w:numId w:val="3"/>
      </w:numPr>
      <w:tabs>
        <w:tab w:val="left" w:pos="240"/>
      </w:tabs>
      <w:spacing w:before="28" w:line="200" w:lineRule="atLeast"/>
      <w:ind w:left="227" w:hanging="227"/>
    </w:pPr>
    <w:rPr>
      <w:rFonts w:ascii="Arial" w:hAnsi="Arial" w:cs="DGUVMeta-Normal"/>
      <w:sz w:val="20"/>
      <w:szCs w:val="15"/>
    </w:rPr>
  </w:style>
  <w:style w:type="paragraph" w:customStyle="1" w:styleId="LegendeInhalt">
    <w:name w:val="Legende (Inhalt)"/>
    <w:basedOn w:val="KeinAbsatzformat"/>
    <w:uiPriority w:val="99"/>
    <w:rsid w:val="00F44599"/>
    <w:pPr>
      <w:spacing w:line="160" w:lineRule="atLeast"/>
      <w:jc w:val="center"/>
    </w:pPr>
    <w:rPr>
      <w:rFonts w:ascii="DGUVMeta-NormalItalic" w:hAnsi="DGUVMeta-NormalItalic" w:cs="DGUVMeta-NormalItalic"/>
      <w:i/>
      <w:iCs/>
      <w:sz w:val="14"/>
      <w:szCs w:val="14"/>
    </w:rPr>
  </w:style>
  <w:style w:type="character" w:customStyle="1" w:styleId="medium">
    <w:name w:val="medium"/>
    <w:uiPriority w:val="99"/>
    <w:rsid w:val="00F44599"/>
  </w:style>
  <w:style w:type="character" w:customStyle="1" w:styleId="Bold">
    <w:name w:val="Bold"/>
    <w:uiPriority w:val="99"/>
    <w:rsid w:val="00F44599"/>
    <w:rPr>
      <w:rFonts w:ascii="DGUVMeta-Bold" w:hAnsi="DGUVMeta-Bold" w:cs="DGUVMeta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2208</Characters>
  <Application>Microsoft Office Word</Application>
  <DocSecurity>0</DocSecurity>
  <Lines>18</Lines>
  <Paragraphs>5</Paragraphs>
  <ScaleCrop>false</ScaleCrop>
  <Company>M+M Druck GmbH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Steffan</dc:creator>
  <cp:keywords/>
  <dc:description/>
  <cp:lastModifiedBy>Melanie Fiebiger</cp:lastModifiedBy>
  <cp:revision>5</cp:revision>
  <dcterms:created xsi:type="dcterms:W3CDTF">2019-12-12T14:17:00Z</dcterms:created>
  <dcterms:modified xsi:type="dcterms:W3CDTF">2023-04-19T10:08:00Z</dcterms:modified>
</cp:coreProperties>
</file>