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A3ED8" w14:textId="2930A40F" w:rsidR="004F2F4C" w:rsidRDefault="00933645" w:rsidP="00D5651F">
      <w:pPr>
        <w:pStyle w:val="HeadlineInhalt"/>
        <w:pageBreakBefore w:val="0"/>
        <w:spacing w:after="240"/>
      </w:pPr>
      <w:r>
        <w:t xml:space="preserve">Musterbetriebsanweisung </w:t>
      </w:r>
      <w:r w:rsidR="00D5651F">
        <w:t>für Biostoffe</w:t>
      </w:r>
    </w:p>
    <w:tbl>
      <w:tblPr>
        <w:tblW w:w="9214" w:type="dxa"/>
        <w:tblInd w:w="80" w:type="dxa"/>
        <w:tblBorders>
          <w:top w:val="single" w:sz="36" w:space="0" w:color="9BBB59" w:themeColor="accent3"/>
          <w:left w:val="single" w:sz="36" w:space="0" w:color="9BBB59" w:themeColor="accent3"/>
          <w:bottom w:val="single" w:sz="36" w:space="0" w:color="9BBB59" w:themeColor="accent3"/>
          <w:right w:val="single" w:sz="36" w:space="0" w:color="9BBB59" w:themeColor="accent3"/>
          <w:insideH w:val="single" w:sz="12" w:space="0" w:color="9BBB59" w:themeColor="accent3"/>
          <w:insideV w:val="single" w:sz="12" w:space="0" w:color="9BBB59" w:themeColor="accent3"/>
        </w:tblBorders>
        <w:tblLayout w:type="fixed"/>
        <w:tblCellMar>
          <w:left w:w="0" w:type="dxa"/>
          <w:right w:w="0" w:type="dxa"/>
        </w:tblCellMar>
        <w:tblLook w:val="0000" w:firstRow="0" w:lastRow="0" w:firstColumn="0" w:lastColumn="0" w:noHBand="0" w:noVBand="0"/>
      </w:tblPr>
      <w:tblGrid>
        <w:gridCol w:w="1134"/>
        <w:gridCol w:w="5954"/>
        <w:gridCol w:w="142"/>
        <w:gridCol w:w="1984"/>
      </w:tblGrid>
      <w:tr w:rsidR="00D5651F" w:rsidRPr="00D5651F" w14:paraId="7127A598" w14:textId="77777777" w:rsidTr="00031F55">
        <w:trPr>
          <w:trHeight w:val="746"/>
        </w:trPr>
        <w:tc>
          <w:tcPr>
            <w:tcW w:w="1134" w:type="dxa"/>
            <w:tcMar>
              <w:top w:w="113" w:type="dxa"/>
              <w:left w:w="80" w:type="dxa"/>
              <w:bottom w:w="80" w:type="dxa"/>
              <w:right w:w="80" w:type="dxa"/>
            </w:tcMar>
          </w:tcPr>
          <w:p w14:paraId="2A43D585" w14:textId="3105C5E4" w:rsidR="00D5651F" w:rsidRPr="00D5651F" w:rsidRDefault="00D5651F" w:rsidP="00D5651F">
            <w:pPr>
              <w:widowControl w:val="0"/>
              <w:autoSpaceDE w:val="0"/>
              <w:autoSpaceDN w:val="0"/>
              <w:adjustRightInd w:val="0"/>
              <w:spacing w:after="0" w:line="190" w:lineRule="atLeast"/>
              <w:jc w:val="center"/>
              <w:textAlignment w:val="center"/>
              <w:rPr>
                <w:color w:val="000000"/>
                <w:sz w:val="16"/>
                <w:szCs w:val="16"/>
                <w:lang w:eastAsia="de-DE"/>
              </w:rPr>
            </w:pPr>
            <w:r>
              <w:rPr>
                <w:b/>
                <w:bCs/>
                <w:color w:val="000000"/>
                <w:sz w:val="16"/>
                <w:szCs w:val="16"/>
                <w:lang w:eastAsia="de-DE"/>
              </w:rPr>
              <w:t>Schutz</w:t>
            </w:r>
            <w:r w:rsidRPr="00D5651F">
              <w:rPr>
                <w:b/>
                <w:bCs/>
                <w:color w:val="000000"/>
                <w:sz w:val="16"/>
                <w:szCs w:val="16"/>
                <w:lang w:eastAsia="de-DE"/>
              </w:rPr>
              <w:t>stufe</w:t>
            </w:r>
            <w:r w:rsidRPr="00D5651F">
              <w:rPr>
                <w:b/>
                <w:bCs/>
                <w:color w:val="000000"/>
                <w:sz w:val="16"/>
                <w:szCs w:val="16"/>
                <w:lang w:eastAsia="de-DE"/>
              </w:rPr>
              <w:br/>
            </w:r>
            <w:r w:rsidRPr="00D5651F">
              <w:rPr>
                <w:b/>
                <w:bCs/>
                <w:color w:val="000000"/>
                <w:sz w:val="20"/>
                <w:szCs w:val="20"/>
                <w:lang w:eastAsia="de-DE"/>
              </w:rPr>
              <w:t>2</w:t>
            </w:r>
          </w:p>
        </w:tc>
        <w:tc>
          <w:tcPr>
            <w:tcW w:w="5954" w:type="dxa"/>
            <w:tcMar>
              <w:top w:w="113" w:type="dxa"/>
              <w:left w:w="80" w:type="dxa"/>
              <w:bottom w:w="80" w:type="dxa"/>
              <w:right w:w="80" w:type="dxa"/>
            </w:tcMar>
          </w:tcPr>
          <w:p w14:paraId="07632749" w14:textId="77777777" w:rsidR="00D5651F" w:rsidRPr="00D5651F" w:rsidRDefault="00D5651F" w:rsidP="00031F55">
            <w:pPr>
              <w:widowControl w:val="0"/>
              <w:tabs>
                <w:tab w:val="left" w:pos="312"/>
              </w:tabs>
              <w:autoSpaceDE w:val="0"/>
              <w:autoSpaceDN w:val="0"/>
              <w:adjustRightInd w:val="0"/>
              <w:spacing w:before="60" w:after="0" w:line="280" w:lineRule="atLeast"/>
              <w:jc w:val="center"/>
              <w:textAlignment w:val="center"/>
              <w:rPr>
                <w:b/>
                <w:bCs/>
                <w:color w:val="323232"/>
                <w:sz w:val="24"/>
                <w:lang w:eastAsia="de-DE"/>
              </w:rPr>
            </w:pPr>
            <w:r w:rsidRPr="00D5651F">
              <w:rPr>
                <w:b/>
                <w:bCs/>
                <w:color w:val="000000"/>
                <w:sz w:val="24"/>
                <w:lang w:eastAsia="de-DE"/>
              </w:rPr>
              <w:t>MUSTERBETRIEBSANWEISUNG</w:t>
            </w:r>
          </w:p>
          <w:p w14:paraId="01E6D871" w14:textId="77777777" w:rsidR="00D5651F" w:rsidRPr="00031F55" w:rsidRDefault="00D5651F" w:rsidP="00D5651F">
            <w:pPr>
              <w:widowControl w:val="0"/>
              <w:tabs>
                <w:tab w:val="left" w:pos="283"/>
              </w:tabs>
              <w:autoSpaceDE w:val="0"/>
              <w:autoSpaceDN w:val="0"/>
              <w:adjustRightInd w:val="0"/>
              <w:spacing w:after="0" w:line="256" w:lineRule="atLeast"/>
              <w:jc w:val="center"/>
              <w:textAlignment w:val="center"/>
              <w:rPr>
                <w:b/>
                <w:bCs/>
                <w:color w:val="000000"/>
                <w:szCs w:val="18"/>
                <w:lang w:eastAsia="de-DE"/>
              </w:rPr>
            </w:pPr>
            <w:r w:rsidRPr="00031F55">
              <w:rPr>
                <w:b/>
                <w:bCs/>
                <w:color w:val="000000"/>
                <w:szCs w:val="18"/>
                <w:lang w:eastAsia="de-DE"/>
              </w:rPr>
              <w:t>für Biostoffe</w:t>
            </w:r>
          </w:p>
          <w:p w14:paraId="100A0E04" w14:textId="77777777" w:rsidR="00D5651F" w:rsidRPr="00D5651F" w:rsidRDefault="00D5651F" w:rsidP="00031F55">
            <w:pPr>
              <w:widowControl w:val="0"/>
              <w:tabs>
                <w:tab w:val="left" w:pos="283"/>
              </w:tabs>
              <w:autoSpaceDE w:val="0"/>
              <w:autoSpaceDN w:val="0"/>
              <w:adjustRightInd w:val="0"/>
              <w:spacing w:after="60" w:line="256" w:lineRule="atLeast"/>
              <w:jc w:val="center"/>
              <w:textAlignment w:val="center"/>
              <w:rPr>
                <w:color w:val="000000"/>
                <w:sz w:val="20"/>
                <w:szCs w:val="20"/>
                <w:lang w:eastAsia="de-DE"/>
              </w:rPr>
            </w:pPr>
            <w:r w:rsidRPr="00031F55">
              <w:rPr>
                <w:b/>
                <w:bCs/>
                <w:color w:val="000000"/>
                <w:szCs w:val="18"/>
                <w:lang w:eastAsia="de-DE"/>
              </w:rPr>
              <w:t>arbeitsbereichsbezogen nach § 14 Absatz 1 Biostoffverordnung</w:t>
            </w:r>
          </w:p>
        </w:tc>
        <w:tc>
          <w:tcPr>
            <w:tcW w:w="2126" w:type="dxa"/>
            <w:gridSpan w:val="2"/>
            <w:tcMar>
              <w:top w:w="113" w:type="dxa"/>
              <w:left w:w="80" w:type="dxa"/>
              <w:bottom w:w="80" w:type="dxa"/>
              <w:right w:w="80" w:type="dxa"/>
            </w:tcMar>
          </w:tcPr>
          <w:p w14:paraId="6CC87450" w14:textId="77777777" w:rsidR="00D5651F" w:rsidRPr="00D5651F" w:rsidRDefault="00D5651F" w:rsidP="00031F55">
            <w:pPr>
              <w:widowControl w:val="0"/>
              <w:autoSpaceDE w:val="0"/>
              <w:autoSpaceDN w:val="0"/>
              <w:adjustRightInd w:val="0"/>
              <w:spacing w:before="120" w:after="0" w:line="170" w:lineRule="atLeast"/>
              <w:jc w:val="left"/>
              <w:textAlignment w:val="center"/>
              <w:rPr>
                <w:color w:val="000000"/>
                <w:sz w:val="16"/>
                <w:szCs w:val="16"/>
                <w:lang w:eastAsia="de-DE"/>
              </w:rPr>
            </w:pPr>
            <w:r w:rsidRPr="00D5651F">
              <w:rPr>
                <w:color w:val="000000"/>
                <w:sz w:val="16"/>
                <w:szCs w:val="16"/>
                <w:lang w:eastAsia="de-DE"/>
              </w:rPr>
              <w:t>Stand:  …</w:t>
            </w:r>
          </w:p>
          <w:p w14:paraId="61230F21" w14:textId="77777777" w:rsidR="00D5651F" w:rsidRPr="00D5651F" w:rsidRDefault="00D5651F" w:rsidP="00D5651F">
            <w:pPr>
              <w:widowControl w:val="0"/>
              <w:autoSpaceDE w:val="0"/>
              <w:autoSpaceDN w:val="0"/>
              <w:adjustRightInd w:val="0"/>
              <w:spacing w:after="0" w:line="170" w:lineRule="atLeast"/>
              <w:jc w:val="left"/>
              <w:textAlignment w:val="center"/>
              <w:rPr>
                <w:color w:val="000000"/>
                <w:sz w:val="16"/>
                <w:szCs w:val="16"/>
                <w:lang w:eastAsia="de-DE"/>
              </w:rPr>
            </w:pPr>
          </w:p>
          <w:p w14:paraId="19085EC0" w14:textId="77777777" w:rsidR="00D5651F" w:rsidRPr="00D5651F" w:rsidRDefault="00D5651F" w:rsidP="00D5651F">
            <w:pPr>
              <w:widowControl w:val="0"/>
              <w:autoSpaceDE w:val="0"/>
              <w:autoSpaceDN w:val="0"/>
              <w:adjustRightInd w:val="0"/>
              <w:spacing w:after="0" w:line="170" w:lineRule="atLeast"/>
              <w:jc w:val="left"/>
              <w:textAlignment w:val="center"/>
              <w:rPr>
                <w:color w:val="000000"/>
                <w:sz w:val="14"/>
                <w:szCs w:val="14"/>
                <w:lang w:eastAsia="de-DE"/>
              </w:rPr>
            </w:pPr>
            <w:r w:rsidRPr="00D5651F">
              <w:rPr>
                <w:color w:val="000000"/>
                <w:sz w:val="16"/>
                <w:szCs w:val="16"/>
                <w:lang w:eastAsia="de-DE"/>
              </w:rPr>
              <w:br/>
              <w:t xml:space="preserve">Unterschrift: </w:t>
            </w:r>
            <w:r w:rsidRPr="00D5651F">
              <w:rPr>
                <w:color w:val="000000"/>
                <w:position w:val="-2"/>
                <w:sz w:val="16"/>
                <w:szCs w:val="16"/>
                <w:lang w:eastAsia="de-DE"/>
              </w:rPr>
              <w:t>…</w:t>
            </w:r>
          </w:p>
        </w:tc>
      </w:tr>
      <w:tr w:rsidR="00D5651F" w:rsidRPr="00D5651F" w14:paraId="7A258C31" w14:textId="77777777" w:rsidTr="00031F55">
        <w:trPr>
          <w:trHeight w:val="60"/>
        </w:trPr>
        <w:tc>
          <w:tcPr>
            <w:tcW w:w="9214" w:type="dxa"/>
            <w:gridSpan w:val="4"/>
            <w:shd w:val="solid" w:color="9BBB59" w:themeColor="accent3" w:fill="auto"/>
            <w:tcMar>
              <w:top w:w="57" w:type="dxa"/>
              <w:left w:w="80" w:type="dxa"/>
              <w:bottom w:w="57" w:type="dxa"/>
              <w:right w:w="80" w:type="dxa"/>
            </w:tcMar>
          </w:tcPr>
          <w:p w14:paraId="19089AC1" w14:textId="77777777" w:rsidR="00D5651F" w:rsidRPr="00031F55" w:rsidRDefault="00D5651F" w:rsidP="00D5651F">
            <w:pPr>
              <w:widowControl w:val="0"/>
              <w:tabs>
                <w:tab w:val="left" w:pos="283"/>
              </w:tabs>
              <w:autoSpaceDE w:val="0"/>
              <w:autoSpaceDN w:val="0"/>
              <w:adjustRightInd w:val="0"/>
              <w:spacing w:after="0" w:line="241" w:lineRule="atLeast"/>
              <w:jc w:val="center"/>
              <w:textAlignment w:val="center"/>
              <w:rPr>
                <w:b/>
                <w:color w:val="000000"/>
                <w:szCs w:val="18"/>
                <w:lang w:eastAsia="de-DE"/>
              </w:rPr>
            </w:pPr>
            <w:r w:rsidRPr="00031F55">
              <w:rPr>
                <w:b/>
                <w:color w:val="FFFFFF"/>
                <w:szCs w:val="18"/>
                <w:lang w:eastAsia="de-DE"/>
              </w:rPr>
              <w:t>GEFAHRENBEZEICHNUNG</w:t>
            </w:r>
          </w:p>
        </w:tc>
      </w:tr>
      <w:tr w:rsidR="00D5651F" w:rsidRPr="00D5651F" w14:paraId="08AB8F75" w14:textId="77777777" w:rsidTr="00031F55">
        <w:trPr>
          <w:trHeight w:val="310"/>
        </w:trPr>
        <w:tc>
          <w:tcPr>
            <w:tcW w:w="9214" w:type="dxa"/>
            <w:gridSpan w:val="4"/>
            <w:tcMar>
              <w:top w:w="80" w:type="dxa"/>
              <w:left w:w="80" w:type="dxa"/>
              <w:bottom w:w="80" w:type="dxa"/>
              <w:right w:w="80" w:type="dxa"/>
            </w:tcMar>
            <w:vAlign w:val="center"/>
          </w:tcPr>
          <w:p w14:paraId="0D8028D8" w14:textId="77777777" w:rsidR="00D5651F" w:rsidRPr="00031F55" w:rsidRDefault="00D5651F" w:rsidP="00031F55">
            <w:pPr>
              <w:widowControl w:val="0"/>
              <w:tabs>
                <w:tab w:val="left" w:pos="283"/>
              </w:tabs>
              <w:autoSpaceDE w:val="0"/>
              <w:autoSpaceDN w:val="0"/>
              <w:adjustRightInd w:val="0"/>
              <w:spacing w:before="60" w:after="60" w:line="256" w:lineRule="atLeast"/>
              <w:jc w:val="center"/>
              <w:textAlignment w:val="center"/>
              <w:rPr>
                <w:b/>
                <w:color w:val="000000"/>
                <w:sz w:val="20"/>
                <w:szCs w:val="20"/>
                <w:lang w:eastAsia="de-DE"/>
              </w:rPr>
            </w:pPr>
            <w:r w:rsidRPr="00031F55">
              <w:rPr>
                <w:b/>
                <w:color w:val="000000"/>
                <w:sz w:val="20"/>
                <w:szCs w:val="20"/>
                <w:lang w:eastAsia="de-DE"/>
              </w:rPr>
              <w:t>Tätigkeiten mit Biostoffen der Risikogruppe 2</w:t>
            </w:r>
          </w:p>
        </w:tc>
      </w:tr>
      <w:tr w:rsidR="00D5651F" w:rsidRPr="00D5651F" w14:paraId="1C442D31" w14:textId="77777777" w:rsidTr="00031F55">
        <w:trPr>
          <w:trHeight w:val="61"/>
        </w:trPr>
        <w:tc>
          <w:tcPr>
            <w:tcW w:w="9214" w:type="dxa"/>
            <w:gridSpan w:val="4"/>
            <w:shd w:val="solid" w:color="9BBB59" w:themeColor="accent3" w:fill="auto"/>
            <w:tcMar>
              <w:top w:w="57" w:type="dxa"/>
              <w:left w:w="80" w:type="dxa"/>
              <w:bottom w:w="57" w:type="dxa"/>
              <w:right w:w="80" w:type="dxa"/>
            </w:tcMar>
          </w:tcPr>
          <w:p w14:paraId="38AB3CB1" w14:textId="77777777" w:rsidR="00D5651F" w:rsidRPr="00031F55" w:rsidRDefault="00D5651F" w:rsidP="00D5651F">
            <w:pPr>
              <w:widowControl w:val="0"/>
              <w:tabs>
                <w:tab w:val="left" w:pos="283"/>
              </w:tabs>
              <w:autoSpaceDE w:val="0"/>
              <w:autoSpaceDN w:val="0"/>
              <w:adjustRightInd w:val="0"/>
              <w:spacing w:after="0" w:line="241" w:lineRule="atLeast"/>
              <w:jc w:val="center"/>
              <w:textAlignment w:val="center"/>
              <w:rPr>
                <w:b/>
                <w:color w:val="000000"/>
                <w:szCs w:val="18"/>
                <w:lang w:eastAsia="de-DE"/>
              </w:rPr>
            </w:pPr>
            <w:r w:rsidRPr="00031F55">
              <w:rPr>
                <w:b/>
                <w:color w:val="FFFFFF"/>
                <w:szCs w:val="18"/>
                <w:lang w:eastAsia="de-DE"/>
              </w:rPr>
              <w:t>GEFAHREN FÜR MENSCHEN</w:t>
            </w:r>
          </w:p>
        </w:tc>
      </w:tr>
      <w:tr w:rsidR="00D5651F" w:rsidRPr="00D5651F" w14:paraId="6AB1EA5F" w14:textId="77777777" w:rsidTr="00031F55">
        <w:trPr>
          <w:trHeight w:val="1213"/>
        </w:trPr>
        <w:tc>
          <w:tcPr>
            <w:tcW w:w="1134" w:type="dxa"/>
            <w:tcMar>
              <w:top w:w="80" w:type="dxa"/>
              <w:left w:w="80" w:type="dxa"/>
              <w:bottom w:w="80" w:type="dxa"/>
              <w:right w:w="80" w:type="dxa"/>
            </w:tcMar>
          </w:tcPr>
          <w:p w14:paraId="125EF422" w14:textId="41FCE154" w:rsidR="00D5651F" w:rsidRPr="00D5651F"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r>
              <w:rPr>
                <w:noProof/>
                <w:color w:val="000000"/>
                <w:sz w:val="14"/>
                <w:szCs w:val="14"/>
                <w:lang w:eastAsia="de-DE"/>
              </w:rPr>
              <w:drawing>
                <wp:inline distT="0" distB="0" distL="0" distR="0" wp14:anchorId="7E77B971" wp14:editId="0DA34E40">
                  <wp:extent cx="499745" cy="433686"/>
                  <wp:effectExtent l="0" t="0" r="0" b="508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tretch>
                            <a:fillRect/>
                          </a:stretch>
                        </pic:blipFill>
                        <pic:spPr bwMode="auto">
                          <a:xfrm>
                            <a:off x="0" y="0"/>
                            <a:ext cx="499745" cy="433686"/>
                          </a:xfrm>
                          <a:prstGeom prst="rect">
                            <a:avLst/>
                          </a:prstGeom>
                          <a:noFill/>
                          <a:ln>
                            <a:noFill/>
                          </a:ln>
                        </pic:spPr>
                      </pic:pic>
                    </a:graphicData>
                  </a:graphic>
                </wp:inline>
              </w:drawing>
            </w:r>
          </w:p>
        </w:tc>
        <w:tc>
          <w:tcPr>
            <w:tcW w:w="8080" w:type="dxa"/>
            <w:gridSpan w:val="3"/>
            <w:tcMar>
              <w:top w:w="113" w:type="dxa"/>
              <w:left w:w="80" w:type="dxa"/>
              <w:bottom w:w="113" w:type="dxa"/>
              <w:right w:w="80" w:type="dxa"/>
            </w:tcMar>
          </w:tcPr>
          <w:p w14:paraId="5FC87B84" w14:textId="77777777" w:rsidR="00D5651F" w:rsidRPr="00D5651F" w:rsidRDefault="00D5651F" w:rsidP="00031F55">
            <w:pPr>
              <w:pStyle w:val="Tabellentext785BulletInhalt"/>
              <w:spacing w:before="60"/>
              <w:ind w:right="113"/>
            </w:pPr>
            <w:r w:rsidRPr="00D5651F">
              <w:t>Biostoffe der Risikogruppe 2 (Viren, Bakterien, Pilze, Endoparasiten) können bei Einwirkung auf den menschlichen Körper Infektionen und Erkrankungen verursachen. Ein allergenes und toxisches Potenzial ist ebenfalls nicht auszuschließen.</w:t>
            </w:r>
          </w:p>
          <w:p w14:paraId="29375584" w14:textId="77777777" w:rsidR="00D5651F" w:rsidRPr="00D5651F" w:rsidRDefault="00D5651F" w:rsidP="00031F55">
            <w:pPr>
              <w:pStyle w:val="Tabellentext785BulletInhalt"/>
              <w:ind w:right="113"/>
            </w:pPr>
            <w:r w:rsidRPr="00D5651F">
              <w:t>Die Aufnahme in den Körper kann durch Inhalation von Aerosolen, Verschlucken von Probenmaterial, Eindringen von Erregern in bestehende oder verletzungsbedingte Hautschäden oder beim Verspritzen der Probe über das Auge und die Schleimhäute erfolgen.</w:t>
            </w:r>
          </w:p>
          <w:p w14:paraId="4AD86545" w14:textId="77777777" w:rsidR="00D5651F" w:rsidRPr="00D5651F" w:rsidRDefault="00D5651F" w:rsidP="00031F55">
            <w:pPr>
              <w:pStyle w:val="Tabellentext785BulletInhalt"/>
              <w:spacing w:after="60"/>
              <w:ind w:right="113"/>
            </w:pPr>
            <w:r w:rsidRPr="00D5651F">
              <w:t>Bei vielen Labortätigkeiten (z. B. Umfüllen, Ausplattieren, Anfertigen von Verdünnungsreihen, Pipettieren, Mischen, Vortexen) können Aerosole (unsichtbare, feinste schwebende Tröpfchen) entstehen. Infektionsgefahr besteht bei Inhalation dieser Aerosole oder Kontakt mit deren Niederschlag auf Oberflächen.</w:t>
            </w:r>
          </w:p>
        </w:tc>
        <w:bookmarkStart w:id="0" w:name="_GoBack"/>
        <w:bookmarkEnd w:id="0"/>
      </w:tr>
      <w:tr w:rsidR="00D5651F" w:rsidRPr="00D5651F" w14:paraId="3073F1AD" w14:textId="77777777" w:rsidTr="00031F55">
        <w:trPr>
          <w:trHeight w:val="60"/>
        </w:trPr>
        <w:tc>
          <w:tcPr>
            <w:tcW w:w="9214" w:type="dxa"/>
            <w:gridSpan w:val="4"/>
            <w:shd w:val="solid" w:color="9BBB59" w:themeColor="accent3" w:fill="auto"/>
            <w:tcMar>
              <w:top w:w="57" w:type="dxa"/>
              <w:left w:w="80" w:type="dxa"/>
              <w:bottom w:w="57" w:type="dxa"/>
              <w:right w:w="80" w:type="dxa"/>
            </w:tcMar>
          </w:tcPr>
          <w:p w14:paraId="46792457" w14:textId="317A2060" w:rsidR="00D5651F" w:rsidRPr="00031F55" w:rsidRDefault="00031F55" w:rsidP="00D5651F">
            <w:pPr>
              <w:widowControl w:val="0"/>
              <w:tabs>
                <w:tab w:val="left" w:pos="283"/>
              </w:tabs>
              <w:autoSpaceDE w:val="0"/>
              <w:autoSpaceDN w:val="0"/>
              <w:adjustRightInd w:val="0"/>
              <w:spacing w:after="0" w:line="241" w:lineRule="atLeast"/>
              <w:jc w:val="center"/>
              <w:textAlignment w:val="center"/>
              <w:rPr>
                <w:b/>
                <w:color w:val="000000"/>
                <w:szCs w:val="18"/>
                <w:lang w:eastAsia="de-DE"/>
              </w:rPr>
            </w:pPr>
            <w:r w:rsidRPr="00031F55">
              <w:rPr>
                <w:b/>
                <w:color w:val="FFFFFF"/>
                <w:szCs w:val="18"/>
                <w:lang w:eastAsia="de-DE"/>
              </w:rPr>
              <w:t>SCHUTZMASSNAHMEN UND VERHALTENSREGELN</w:t>
            </w:r>
          </w:p>
        </w:tc>
      </w:tr>
      <w:tr w:rsidR="00D5651F" w:rsidRPr="00004CD1" w14:paraId="72940BFA" w14:textId="77777777" w:rsidTr="00031F55">
        <w:trPr>
          <w:trHeight w:val="816"/>
        </w:trPr>
        <w:tc>
          <w:tcPr>
            <w:tcW w:w="1134" w:type="dxa"/>
            <w:tcBorders>
              <w:bottom w:val="single" w:sz="12" w:space="0" w:color="9BBB59" w:themeColor="accent3"/>
            </w:tcBorders>
            <w:tcMar>
              <w:top w:w="80" w:type="dxa"/>
              <w:left w:w="80" w:type="dxa"/>
              <w:bottom w:w="80" w:type="dxa"/>
              <w:right w:w="80" w:type="dxa"/>
            </w:tcMar>
          </w:tcPr>
          <w:p w14:paraId="6B0B4C0B"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2B7125CD" w14:textId="120C3BEF" w:rsidR="00D5651F" w:rsidRPr="00D5651F"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r>
              <w:rPr>
                <w:noProof/>
                <w:color w:val="000000"/>
                <w:sz w:val="14"/>
                <w:szCs w:val="14"/>
                <w:lang w:eastAsia="de-DE"/>
              </w:rPr>
              <w:drawing>
                <wp:inline distT="0" distB="0" distL="0" distR="0" wp14:anchorId="0AD2B245" wp14:editId="7C440B1D">
                  <wp:extent cx="499745" cy="499745"/>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tretch>
                            <a:fillRect/>
                          </a:stretch>
                        </pic:blipFill>
                        <pic:spPr bwMode="auto">
                          <a:xfrm>
                            <a:off x="0" y="0"/>
                            <a:ext cx="499745" cy="499745"/>
                          </a:xfrm>
                          <a:prstGeom prst="rect">
                            <a:avLst/>
                          </a:prstGeom>
                          <a:noFill/>
                          <a:ln>
                            <a:noFill/>
                          </a:ln>
                        </pic:spPr>
                      </pic:pic>
                    </a:graphicData>
                  </a:graphic>
                </wp:inline>
              </w:drawing>
            </w:r>
          </w:p>
          <w:p w14:paraId="66518FF7" w14:textId="77777777" w:rsidR="00031F55"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p>
          <w:p w14:paraId="620CD2AA" w14:textId="7C073946" w:rsidR="00031F55" w:rsidRPr="00D5651F"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r>
              <w:rPr>
                <w:noProof/>
                <w:color w:val="000000"/>
                <w:sz w:val="14"/>
                <w:szCs w:val="14"/>
                <w:lang w:eastAsia="de-DE"/>
              </w:rPr>
              <w:drawing>
                <wp:inline distT="0" distB="0" distL="0" distR="0" wp14:anchorId="600E2421" wp14:editId="25A84BF6">
                  <wp:extent cx="499745" cy="499745"/>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tretch>
                            <a:fillRect/>
                          </a:stretch>
                        </pic:blipFill>
                        <pic:spPr bwMode="auto">
                          <a:xfrm>
                            <a:off x="0" y="0"/>
                            <a:ext cx="499745" cy="499745"/>
                          </a:xfrm>
                          <a:prstGeom prst="rect">
                            <a:avLst/>
                          </a:prstGeom>
                          <a:noFill/>
                          <a:ln>
                            <a:noFill/>
                          </a:ln>
                        </pic:spPr>
                      </pic:pic>
                    </a:graphicData>
                  </a:graphic>
                </wp:inline>
              </w:drawing>
            </w:r>
          </w:p>
          <w:p w14:paraId="3D29A1C0"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407274B0" w14:textId="04C19DFB" w:rsidR="00D5651F" w:rsidRPr="00D5651F"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r>
              <w:rPr>
                <w:noProof/>
                <w:color w:val="000000"/>
                <w:sz w:val="14"/>
                <w:szCs w:val="14"/>
                <w:lang w:eastAsia="de-DE"/>
              </w:rPr>
              <w:drawing>
                <wp:inline distT="0" distB="0" distL="0" distR="0" wp14:anchorId="67A9784B" wp14:editId="76B72AD0">
                  <wp:extent cx="499745" cy="498386"/>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tretch>
                            <a:fillRect/>
                          </a:stretch>
                        </pic:blipFill>
                        <pic:spPr bwMode="auto">
                          <a:xfrm>
                            <a:off x="0" y="0"/>
                            <a:ext cx="499745" cy="498386"/>
                          </a:xfrm>
                          <a:prstGeom prst="rect">
                            <a:avLst/>
                          </a:prstGeom>
                          <a:noFill/>
                          <a:ln>
                            <a:noFill/>
                          </a:ln>
                        </pic:spPr>
                      </pic:pic>
                    </a:graphicData>
                  </a:graphic>
                </wp:inline>
              </w:drawing>
            </w:r>
          </w:p>
          <w:p w14:paraId="01F3623C"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710C474C" w14:textId="390A6580" w:rsidR="00D5651F" w:rsidRPr="00D5651F"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r>
              <w:rPr>
                <w:noProof/>
                <w:color w:val="000000"/>
                <w:sz w:val="14"/>
                <w:szCs w:val="14"/>
                <w:lang w:eastAsia="de-DE"/>
              </w:rPr>
              <w:drawing>
                <wp:inline distT="0" distB="0" distL="0" distR="0" wp14:anchorId="3063CFFE" wp14:editId="043A375B">
                  <wp:extent cx="499745" cy="498386"/>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tretch>
                            <a:fillRect/>
                          </a:stretch>
                        </pic:blipFill>
                        <pic:spPr bwMode="auto">
                          <a:xfrm>
                            <a:off x="0" y="0"/>
                            <a:ext cx="499745" cy="498386"/>
                          </a:xfrm>
                          <a:prstGeom prst="rect">
                            <a:avLst/>
                          </a:prstGeom>
                          <a:noFill/>
                          <a:ln>
                            <a:noFill/>
                          </a:ln>
                        </pic:spPr>
                      </pic:pic>
                    </a:graphicData>
                  </a:graphic>
                </wp:inline>
              </w:drawing>
            </w:r>
          </w:p>
          <w:p w14:paraId="7F1834F4"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5EB47FA2"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4D914198"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588E3298"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6237CAE8"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11701062"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13313ADF"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62AC4A7C"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p w14:paraId="06B27036" w14:textId="77777777" w:rsidR="00D5651F" w:rsidRPr="00D5651F" w:rsidRDefault="00D5651F" w:rsidP="00031F55">
            <w:pPr>
              <w:widowControl w:val="0"/>
              <w:autoSpaceDE w:val="0"/>
              <w:autoSpaceDN w:val="0"/>
              <w:adjustRightInd w:val="0"/>
              <w:spacing w:after="0" w:line="170" w:lineRule="atLeast"/>
              <w:jc w:val="center"/>
              <w:textAlignment w:val="center"/>
              <w:rPr>
                <w:color w:val="000000"/>
                <w:sz w:val="14"/>
                <w:szCs w:val="14"/>
                <w:lang w:eastAsia="de-DE"/>
              </w:rPr>
            </w:pPr>
          </w:p>
        </w:tc>
        <w:tc>
          <w:tcPr>
            <w:tcW w:w="8080" w:type="dxa"/>
            <w:gridSpan w:val="3"/>
            <w:tcBorders>
              <w:bottom w:val="single" w:sz="12" w:space="0" w:color="9BBB59" w:themeColor="accent3"/>
            </w:tcBorders>
            <w:tcMar>
              <w:top w:w="113" w:type="dxa"/>
              <w:left w:w="80" w:type="dxa"/>
              <w:bottom w:w="113" w:type="dxa"/>
              <w:right w:w="80" w:type="dxa"/>
            </w:tcMar>
          </w:tcPr>
          <w:p w14:paraId="06877015" w14:textId="77777777" w:rsidR="00D5651F" w:rsidRPr="00D5651F" w:rsidRDefault="00D5651F" w:rsidP="00031F55">
            <w:pPr>
              <w:pStyle w:val="Tabellentext785BulletInhalt"/>
              <w:spacing w:before="60"/>
              <w:ind w:right="113"/>
            </w:pPr>
            <w:r w:rsidRPr="00D5651F">
              <w:t>Tätigkeiten mit Biostoffen der Risikogruppe 2 dürfen ausschließlich in Laboratorien der Schutzstufe 2 oder höher durchgeführt werden.</w:t>
            </w:r>
          </w:p>
          <w:p w14:paraId="14E38C68" w14:textId="77777777" w:rsidR="00D5651F" w:rsidRPr="00D5651F" w:rsidRDefault="00D5651F" w:rsidP="00031F55">
            <w:pPr>
              <w:pStyle w:val="Tabellentext785BulletInhalt"/>
              <w:ind w:right="113"/>
            </w:pPr>
            <w:r w:rsidRPr="00D5651F">
              <w:t xml:space="preserve">Zutritt zum Labor haben nur Personen, die von der Laborleitung hierzu ermächtigt werden. </w:t>
            </w:r>
          </w:p>
          <w:p w14:paraId="788E1CC9" w14:textId="36B4EF9A" w:rsidR="00D5651F" w:rsidRPr="00D5651F" w:rsidRDefault="00D5651F" w:rsidP="00031F55">
            <w:pPr>
              <w:pStyle w:val="Tabellentext785BulletInhalt"/>
              <w:ind w:right="113"/>
            </w:pPr>
            <w:r w:rsidRPr="00D5651F">
              <w:rPr>
                <w:spacing w:val="-1"/>
              </w:rPr>
              <w:t>Im Labor sind ein geschlossener Laborkittel, festes und gesch</w:t>
            </w:r>
            <w:r w:rsidR="00031F55">
              <w:rPr>
                <w:spacing w:val="-1"/>
              </w:rPr>
              <w:t>lossenes Schuhwerk sowie Schutz</w:t>
            </w:r>
            <w:r w:rsidRPr="00D5651F">
              <w:rPr>
                <w:spacing w:val="-1"/>
              </w:rPr>
              <w:t>brille zu tragen. Die Schutzkleidung darf nur in den Arbeitsräumen getragen werden und ist beim Verlassen des Labors abzulegen. Verschmutzte Schutzkleidung ist für die desinfizierende Reinigung in dafür vorgesehenen und mit der Aufschrift … gekennzeichneten Säcken zu sammeln.</w:t>
            </w:r>
          </w:p>
          <w:p w14:paraId="7EF35542" w14:textId="77777777" w:rsidR="00D5651F" w:rsidRPr="00D5651F" w:rsidRDefault="00D5651F" w:rsidP="00031F55">
            <w:pPr>
              <w:pStyle w:val="Tabellentext785BulletInhalt"/>
              <w:ind w:right="113"/>
            </w:pPr>
            <w:r w:rsidRPr="00D5651F">
              <w:t>Beim Verlassen des Labors und nach jedem Hautkontakt mit erregerhaltigem Material sind die Hände zu desinfizieren und zu waschen. Danach ist eine Handpflege gemäß Hautschutzplan vorzunehmen.</w:t>
            </w:r>
          </w:p>
          <w:p w14:paraId="581ACA1F" w14:textId="77777777" w:rsidR="00D5651F" w:rsidRPr="00D5651F" w:rsidRDefault="00D5651F" w:rsidP="00031F55">
            <w:pPr>
              <w:pStyle w:val="Tabellentext785BulletInhalt"/>
              <w:ind w:right="113"/>
            </w:pPr>
            <w:r w:rsidRPr="00D5651F">
              <w:t xml:space="preserve">Sämtliche Arbeiten, bei denen mit Aerosolbildung zu rechnen ist (z. B. Umfüllen, Ausplattieren, Anfertigen von Verdünnungsreihen, Pipettieren, Mischen) sind unter einer mikrobiologischen Sicherheitswerkbank durchführen. Sicherheitswerkbank aufgeräumt, sauber und ordentlich halten. Nach Abschluss der Tätigkeiten Arbeitsfläche gemäß Hygieneplan desinfizieren und UV-Licht einschalten. </w:t>
            </w:r>
          </w:p>
          <w:p w14:paraId="16C8FEED" w14:textId="77777777" w:rsidR="00D5651F" w:rsidRPr="00D5651F" w:rsidRDefault="00D5651F" w:rsidP="00031F55">
            <w:pPr>
              <w:pStyle w:val="Tabellentext785BulletInhalt"/>
              <w:ind w:right="113"/>
            </w:pPr>
            <w:r w:rsidRPr="00D5651F">
              <w:t>Bei der Zentrifugation dicht schließende Zentrifugenröhrchen (Schraubverschluss mit O-Ring) verwenden.</w:t>
            </w:r>
          </w:p>
          <w:p w14:paraId="37E880A5" w14:textId="77777777" w:rsidR="00D5651F" w:rsidRPr="00D5651F" w:rsidRDefault="00D5651F" w:rsidP="00031F55">
            <w:pPr>
              <w:pStyle w:val="Tabellentext785BulletInhalt"/>
              <w:ind w:right="113"/>
            </w:pPr>
            <w:r w:rsidRPr="00D5651F">
              <w:t>Während des direkten Umgangs mit infektiösem Material müssen Einmalschutzhandschuhe (Typ: …) getragen werden. Schmierkontaminationen (z. B. an Telefonhörer, Türklinken, Armaturen, Schreibgeräten und Tastaturen) sind dabei zu vermeiden.</w:t>
            </w:r>
          </w:p>
          <w:p w14:paraId="6D9C1CC5" w14:textId="77777777" w:rsidR="00D5651F" w:rsidRPr="00D5651F" w:rsidRDefault="00D5651F" w:rsidP="00031F55">
            <w:pPr>
              <w:pStyle w:val="Tabellentext785BulletInhalt"/>
              <w:ind w:right="113"/>
            </w:pPr>
            <w:r w:rsidRPr="00D5651F">
              <w:t>Kontaminierte Arbeitsgeräte müssen vor einer Reinigung autoklaviert oder desinfiziert werden.</w:t>
            </w:r>
          </w:p>
          <w:p w14:paraId="1908A1D0" w14:textId="77777777" w:rsidR="00D5651F" w:rsidRPr="00D5651F" w:rsidRDefault="00D5651F" w:rsidP="00031F55">
            <w:pPr>
              <w:pStyle w:val="Tabellentext785BulletInhalt"/>
              <w:ind w:right="113"/>
            </w:pPr>
            <w:r w:rsidRPr="00D5651F">
              <w:t>Pathogene Biostoffe dürfen nur in gekennzeichneten, verschlossenen und gegen Bruch geschützten Behältern innerbetrieblich transportiert werden. Vor dem Verlassen des Labors ist deren Oberfläche zu desinfizieren.</w:t>
            </w:r>
          </w:p>
          <w:p w14:paraId="7B345FEE" w14:textId="77777777" w:rsidR="00D5651F" w:rsidRPr="00D5651F" w:rsidRDefault="00D5651F" w:rsidP="00031F55">
            <w:pPr>
              <w:pStyle w:val="Tabellentext785BulletInhalt"/>
              <w:ind w:right="113"/>
            </w:pPr>
            <w:r w:rsidRPr="00D5651F">
              <w:t>Im Labor nicht essen, rauchen, trinken, Kaugummi kauen oder Kosmetika auftragen.</w:t>
            </w:r>
          </w:p>
          <w:p w14:paraId="23513695" w14:textId="77777777" w:rsidR="00D5651F" w:rsidRPr="00D5651F" w:rsidRDefault="00D5651F" w:rsidP="00031F55">
            <w:pPr>
              <w:pStyle w:val="Tabellentext785BulletInhalt"/>
              <w:ind w:right="113"/>
            </w:pPr>
            <w:proofErr w:type="spellStart"/>
            <w:r w:rsidRPr="00D5651F">
              <w:t>Mundpipettieren</w:t>
            </w:r>
            <w:proofErr w:type="spellEnd"/>
            <w:r w:rsidRPr="00D5651F">
              <w:t xml:space="preserve"> ist verboten. Zum Pipettieren ausschließlich </w:t>
            </w:r>
            <w:proofErr w:type="spellStart"/>
            <w:r w:rsidRPr="00D5651F">
              <w:t>Pipettierhilfe</w:t>
            </w:r>
            <w:proofErr w:type="spellEnd"/>
            <w:r w:rsidRPr="00D5651F">
              <w:t xml:space="preserve"> benutzen.</w:t>
            </w:r>
          </w:p>
          <w:p w14:paraId="7DA7B530" w14:textId="77777777" w:rsidR="00D5651F" w:rsidRPr="00D5651F" w:rsidRDefault="00D5651F" w:rsidP="00031F55">
            <w:pPr>
              <w:pStyle w:val="Tabellentext785BulletInhalt"/>
              <w:ind w:right="113"/>
            </w:pPr>
            <w:r w:rsidRPr="00D5651F">
              <w:t>Sauberkeit und Ordnung am Arbeitsplatz sind oberstes Gebot.</w:t>
            </w:r>
          </w:p>
          <w:p w14:paraId="25DEE215" w14:textId="77777777" w:rsidR="00D5651F" w:rsidRPr="00D5651F" w:rsidRDefault="00D5651F" w:rsidP="00031F55">
            <w:pPr>
              <w:pStyle w:val="Tabellentext785BulletInhalt"/>
              <w:spacing w:after="60"/>
              <w:ind w:right="113"/>
            </w:pPr>
            <w:r w:rsidRPr="00D5651F">
              <w:t>Es besteht die Möglichkeit, arbeitsmedizinische Vorsorgeuntersuchungen (inkl. Impfangebot) in Anspruch zu nehmen.</w:t>
            </w:r>
          </w:p>
        </w:tc>
      </w:tr>
      <w:tr w:rsidR="00D5651F" w:rsidRPr="00D5651F" w14:paraId="133CD631" w14:textId="77777777" w:rsidTr="00031F55">
        <w:trPr>
          <w:trHeight w:val="206"/>
        </w:trPr>
        <w:tc>
          <w:tcPr>
            <w:tcW w:w="7230" w:type="dxa"/>
            <w:gridSpan w:val="3"/>
            <w:tcBorders>
              <w:top w:val="single" w:sz="12" w:space="0" w:color="9BBB59" w:themeColor="accent3"/>
              <w:bottom w:val="single" w:sz="12" w:space="0" w:color="9BBB59" w:themeColor="accent3"/>
            </w:tcBorders>
            <w:shd w:val="solid" w:color="9BBB59" w:themeColor="accent3" w:fill="auto"/>
            <w:tcMar>
              <w:top w:w="57" w:type="dxa"/>
              <w:left w:w="80" w:type="dxa"/>
              <w:bottom w:w="57" w:type="dxa"/>
              <w:right w:w="80" w:type="dxa"/>
            </w:tcMar>
          </w:tcPr>
          <w:p w14:paraId="349C798C" w14:textId="77777777" w:rsidR="00D5651F" w:rsidRPr="00004CD1" w:rsidRDefault="00D5651F" w:rsidP="00031F55">
            <w:pPr>
              <w:pageBreakBefore/>
              <w:widowControl w:val="0"/>
              <w:tabs>
                <w:tab w:val="left" w:pos="283"/>
              </w:tabs>
              <w:autoSpaceDE w:val="0"/>
              <w:autoSpaceDN w:val="0"/>
              <w:adjustRightInd w:val="0"/>
              <w:spacing w:after="0" w:line="241" w:lineRule="atLeast"/>
              <w:jc w:val="center"/>
              <w:textAlignment w:val="center"/>
              <w:rPr>
                <w:b/>
                <w:color w:val="000000"/>
                <w:szCs w:val="18"/>
                <w:lang w:eastAsia="de-DE"/>
              </w:rPr>
            </w:pPr>
            <w:r w:rsidRPr="00004CD1">
              <w:rPr>
                <w:b/>
                <w:color w:val="FFFFFF"/>
                <w:szCs w:val="18"/>
                <w:lang w:eastAsia="de-DE"/>
              </w:rPr>
              <w:lastRenderedPageBreak/>
              <w:t>VERHALTEN IM GEFAHRFALL</w:t>
            </w:r>
          </w:p>
        </w:tc>
        <w:tc>
          <w:tcPr>
            <w:tcW w:w="1984" w:type="dxa"/>
            <w:tcBorders>
              <w:top w:val="single" w:sz="12" w:space="0" w:color="9BBB59" w:themeColor="accent3"/>
              <w:bottom w:val="single" w:sz="12" w:space="0" w:color="9BBB59" w:themeColor="accent3"/>
            </w:tcBorders>
            <w:tcMar>
              <w:top w:w="57" w:type="dxa"/>
              <w:left w:w="80" w:type="dxa"/>
              <w:bottom w:w="57" w:type="dxa"/>
              <w:right w:w="80" w:type="dxa"/>
            </w:tcMar>
          </w:tcPr>
          <w:p w14:paraId="71EFAFEC" w14:textId="77777777" w:rsidR="00D5651F" w:rsidRPr="00031F55" w:rsidRDefault="00D5651F" w:rsidP="00D5651F">
            <w:pPr>
              <w:widowControl w:val="0"/>
              <w:tabs>
                <w:tab w:val="left" w:pos="283"/>
              </w:tabs>
              <w:autoSpaceDE w:val="0"/>
              <w:autoSpaceDN w:val="0"/>
              <w:adjustRightInd w:val="0"/>
              <w:spacing w:after="0" w:line="241" w:lineRule="atLeast"/>
              <w:jc w:val="left"/>
              <w:textAlignment w:val="center"/>
              <w:rPr>
                <w:b/>
                <w:color w:val="000000"/>
                <w:sz w:val="16"/>
                <w:szCs w:val="16"/>
                <w:lang w:eastAsia="de-DE"/>
              </w:rPr>
            </w:pPr>
            <w:r w:rsidRPr="00031F55">
              <w:rPr>
                <w:b/>
                <w:color w:val="000000"/>
                <w:sz w:val="16"/>
                <w:szCs w:val="16"/>
                <w:lang w:eastAsia="de-DE"/>
              </w:rPr>
              <w:t>Ruf Zentrale: …</w:t>
            </w:r>
          </w:p>
        </w:tc>
      </w:tr>
      <w:tr w:rsidR="00D5651F" w:rsidRPr="00D5651F" w14:paraId="6D975BDA" w14:textId="77777777" w:rsidTr="00031F55">
        <w:trPr>
          <w:trHeight w:val="1213"/>
        </w:trPr>
        <w:tc>
          <w:tcPr>
            <w:tcW w:w="1134" w:type="dxa"/>
            <w:tcBorders>
              <w:top w:val="single" w:sz="12" w:space="0" w:color="9BBB59" w:themeColor="accent3"/>
            </w:tcBorders>
            <w:tcMar>
              <w:top w:w="113" w:type="dxa"/>
              <w:left w:w="80" w:type="dxa"/>
              <w:bottom w:w="113" w:type="dxa"/>
              <w:right w:w="80" w:type="dxa"/>
            </w:tcMar>
            <w:vAlign w:val="center"/>
          </w:tcPr>
          <w:p w14:paraId="1FF1C72E" w14:textId="104530FD" w:rsidR="00D5651F" w:rsidRPr="00D5651F"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r>
              <w:rPr>
                <w:noProof/>
                <w:color w:val="000000"/>
                <w:sz w:val="14"/>
                <w:szCs w:val="14"/>
                <w:lang w:eastAsia="de-DE"/>
              </w:rPr>
              <w:drawing>
                <wp:inline distT="0" distB="0" distL="0" distR="0" wp14:anchorId="31302D51" wp14:editId="40520EBA">
                  <wp:extent cx="499745" cy="499745"/>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tretch>
                            <a:fillRect/>
                          </a:stretch>
                        </pic:blipFill>
                        <pic:spPr bwMode="auto">
                          <a:xfrm>
                            <a:off x="0" y="0"/>
                            <a:ext cx="499745" cy="499745"/>
                          </a:xfrm>
                          <a:prstGeom prst="rect">
                            <a:avLst/>
                          </a:prstGeom>
                          <a:noFill/>
                          <a:ln>
                            <a:noFill/>
                          </a:ln>
                        </pic:spPr>
                      </pic:pic>
                    </a:graphicData>
                  </a:graphic>
                </wp:inline>
              </w:drawing>
            </w:r>
          </w:p>
        </w:tc>
        <w:tc>
          <w:tcPr>
            <w:tcW w:w="8080" w:type="dxa"/>
            <w:gridSpan w:val="3"/>
            <w:tcBorders>
              <w:top w:val="single" w:sz="12" w:space="0" w:color="9BBB59" w:themeColor="accent3"/>
            </w:tcBorders>
            <w:tcMar>
              <w:top w:w="113" w:type="dxa"/>
              <w:left w:w="80" w:type="dxa"/>
              <w:bottom w:w="113" w:type="dxa"/>
              <w:right w:w="80" w:type="dxa"/>
            </w:tcMar>
          </w:tcPr>
          <w:p w14:paraId="1972FE17" w14:textId="77777777" w:rsidR="00D5651F" w:rsidRPr="00D5651F" w:rsidRDefault="00D5651F" w:rsidP="00031F55">
            <w:pPr>
              <w:pStyle w:val="Tabellentext785BulletInhalt"/>
              <w:spacing w:before="60"/>
              <w:ind w:right="113"/>
            </w:pPr>
            <w:r w:rsidRPr="00D5651F">
              <w:t>Beim Freiwerden von Biostoffen der Risikogruppe 2 in großer Menge oder Konzentration (z. B. Verschütten, Bruch einer Kulturflasche) Beschäftigte warnen, Bereich ggf. absperren und sofort die Laborleitung informieren.</w:t>
            </w:r>
          </w:p>
          <w:p w14:paraId="6B8A6BAE" w14:textId="77777777" w:rsidR="00D5651F" w:rsidRPr="00D5651F" w:rsidRDefault="00D5651F" w:rsidP="00031F55">
            <w:pPr>
              <w:pStyle w:val="Tabellentext785BulletInhalt"/>
              <w:ind w:right="113"/>
            </w:pPr>
            <w:r w:rsidRPr="00D5651F">
              <w:t>Die Beseitigung des gefährlichen Zustands hat unter Eigenschutz zu erfolgen. Dabei sind mindestens Schutzbrille, Einmalschutzhandschuhe (Typ: …) und bei möglichem Vorhandensein von Aerosolen filtrierende Halbmaske P2 zu tragen.</w:t>
            </w:r>
          </w:p>
          <w:p w14:paraId="3851DC4F" w14:textId="77777777" w:rsidR="00D5651F" w:rsidRPr="00D5651F" w:rsidRDefault="00D5651F" w:rsidP="00031F55">
            <w:pPr>
              <w:pStyle w:val="Tabellentext785BulletInhalt"/>
              <w:ind w:right="113"/>
            </w:pPr>
            <w:r w:rsidRPr="00D5651F">
              <w:t xml:space="preserve">Flüssigkeiten mit Zellstoff aufsaugen. Zellstoff bzw. kontaminierten Bereich sofort mit Desinfektionsmittel ... einsprühen und gemäß Hygieneplan einwirken lassen. Anschießend ist eine Reinigung gemäß Hygieneplan durchzuführen. </w:t>
            </w:r>
          </w:p>
          <w:p w14:paraId="377DA455" w14:textId="77777777" w:rsidR="00D5651F" w:rsidRPr="00D5651F" w:rsidRDefault="00D5651F" w:rsidP="00031F55">
            <w:pPr>
              <w:pStyle w:val="Tabellentext785BulletInhalt"/>
              <w:ind w:right="113"/>
            </w:pPr>
            <w:r w:rsidRPr="00D5651F">
              <w:t>Fenster und Türen sind bis zum Abschluss der Reinigungsaktion geschlossen zu halten. Der Zutritt Unbefugter ist zu verhindern.</w:t>
            </w:r>
          </w:p>
          <w:p w14:paraId="6A161E5A" w14:textId="77777777" w:rsidR="00D5651F" w:rsidRPr="00D5651F" w:rsidRDefault="00D5651F" w:rsidP="00031F55">
            <w:pPr>
              <w:pStyle w:val="Tabellentext785BulletInhalt"/>
              <w:spacing w:after="60"/>
              <w:ind w:right="113"/>
            </w:pPr>
            <w:r w:rsidRPr="00D5651F">
              <w:t>Sämtliche kontaminierten Gegenstände (auch Laborkittel) sind in Entsorgungsbeutel zu sammeln und zu autoklavieren.</w:t>
            </w:r>
          </w:p>
        </w:tc>
      </w:tr>
      <w:tr w:rsidR="00D5651F" w:rsidRPr="00D5651F" w14:paraId="54F26708" w14:textId="77777777" w:rsidTr="00031F55">
        <w:trPr>
          <w:trHeight w:val="127"/>
        </w:trPr>
        <w:tc>
          <w:tcPr>
            <w:tcW w:w="7230" w:type="dxa"/>
            <w:gridSpan w:val="3"/>
            <w:shd w:val="solid" w:color="9BBB59" w:themeColor="accent3" w:fill="auto"/>
            <w:tcMar>
              <w:top w:w="57" w:type="dxa"/>
              <w:left w:w="80" w:type="dxa"/>
              <w:bottom w:w="57" w:type="dxa"/>
              <w:right w:w="80" w:type="dxa"/>
            </w:tcMar>
          </w:tcPr>
          <w:p w14:paraId="62ABAF62" w14:textId="77777777" w:rsidR="00D5651F" w:rsidRPr="00004CD1" w:rsidRDefault="00D5651F" w:rsidP="00D5651F">
            <w:pPr>
              <w:widowControl w:val="0"/>
              <w:tabs>
                <w:tab w:val="left" w:pos="283"/>
              </w:tabs>
              <w:autoSpaceDE w:val="0"/>
              <w:autoSpaceDN w:val="0"/>
              <w:adjustRightInd w:val="0"/>
              <w:spacing w:after="0" w:line="241" w:lineRule="atLeast"/>
              <w:jc w:val="center"/>
              <w:textAlignment w:val="center"/>
              <w:rPr>
                <w:b/>
                <w:color w:val="000000"/>
                <w:szCs w:val="18"/>
                <w:lang w:eastAsia="de-DE"/>
              </w:rPr>
            </w:pPr>
            <w:r w:rsidRPr="00004CD1">
              <w:rPr>
                <w:b/>
                <w:caps/>
                <w:color w:val="FFFFFF"/>
                <w:szCs w:val="18"/>
                <w:lang w:eastAsia="de-DE"/>
              </w:rPr>
              <w:t>Erste Hilfe</w:t>
            </w:r>
          </w:p>
        </w:tc>
        <w:tc>
          <w:tcPr>
            <w:tcW w:w="1984" w:type="dxa"/>
            <w:tcMar>
              <w:top w:w="57" w:type="dxa"/>
              <w:left w:w="80" w:type="dxa"/>
              <w:bottom w:w="57" w:type="dxa"/>
              <w:right w:w="80" w:type="dxa"/>
            </w:tcMar>
          </w:tcPr>
          <w:p w14:paraId="6F741FBC" w14:textId="77777777" w:rsidR="00D5651F" w:rsidRPr="00031F55" w:rsidRDefault="00D5651F" w:rsidP="00D5651F">
            <w:pPr>
              <w:widowControl w:val="0"/>
              <w:tabs>
                <w:tab w:val="left" w:pos="283"/>
              </w:tabs>
              <w:autoSpaceDE w:val="0"/>
              <w:autoSpaceDN w:val="0"/>
              <w:adjustRightInd w:val="0"/>
              <w:spacing w:after="0" w:line="241" w:lineRule="atLeast"/>
              <w:jc w:val="left"/>
              <w:textAlignment w:val="center"/>
              <w:rPr>
                <w:b/>
                <w:color w:val="000000"/>
                <w:sz w:val="16"/>
                <w:szCs w:val="16"/>
                <w:lang w:eastAsia="de-DE"/>
              </w:rPr>
            </w:pPr>
            <w:r w:rsidRPr="00031F55">
              <w:rPr>
                <w:b/>
                <w:color w:val="000000"/>
                <w:sz w:val="16"/>
                <w:szCs w:val="16"/>
                <w:lang w:eastAsia="de-DE"/>
              </w:rPr>
              <w:t>Notruf 19222 oder 110</w:t>
            </w:r>
          </w:p>
        </w:tc>
      </w:tr>
      <w:tr w:rsidR="00D5651F" w:rsidRPr="00D5651F" w14:paraId="39112B0E" w14:textId="77777777" w:rsidTr="00031F55">
        <w:trPr>
          <w:trHeight w:val="1487"/>
        </w:trPr>
        <w:tc>
          <w:tcPr>
            <w:tcW w:w="1134" w:type="dxa"/>
            <w:tcMar>
              <w:top w:w="80" w:type="dxa"/>
              <w:left w:w="80" w:type="dxa"/>
              <w:bottom w:w="80" w:type="dxa"/>
              <w:right w:w="80" w:type="dxa"/>
            </w:tcMar>
            <w:vAlign w:val="center"/>
          </w:tcPr>
          <w:p w14:paraId="495A2899" w14:textId="426BF3EF" w:rsidR="00D5651F" w:rsidRPr="00D5651F" w:rsidRDefault="00031F55" w:rsidP="00031F55">
            <w:pPr>
              <w:widowControl w:val="0"/>
              <w:autoSpaceDE w:val="0"/>
              <w:autoSpaceDN w:val="0"/>
              <w:adjustRightInd w:val="0"/>
              <w:spacing w:after="0" w:line="170" w:lineRule="atLeast"/>
              <w:jc w:val="center"/>
              <w:textAlignment w:val="center"/>
              <w:rPr>
                <w:color w:val="000000"/>
                <w:sz w:val="14"/>
                <w:szCs w:val="14"/>
                <w:lang w:eastAsia="de-DE"/>
              </w:rPr>
            </w:pPr>
            <w:r>
              <w:rPr>
                <w:noProof/>
                <w:color w:val="000000"/>
                <w:sz w:val="14"/>
                <w:szCs w:val="14"/>
                <w:lang w:eastAsia="de-DE"/>
              </w:rPr>
              <w:drawing>
                <wp:inline distT="0" distB="0" distL="0" distR="0" wp14:anchorId="59D4755A" wp14:editId="5FCD98A7">
                  <wp:extent cx="499745" cy="501172"/>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tretch>
                            <a:fillRect/>
                          </a:stretch>
                        </pic:blipFill>
                        <pic:spPr bwMode="auto">
                          <a:xfrm>
                            <a:off x="0" y="0"/>
                            <a:ext cx="499745" cy="501172"/>
                          </a:xfrm>
                          <a:prstGeom prst="rect">
                            <a:avLst/>
                          </a:prstGeom>
                          <a:noFill/>
                          <a:ln>
                            <a:noFill/>
                          </a:ln>
                        </pic:spPr>
                      </pic:pic>
                    </a:graphicData>
                  </a:graphic>
                </wp:inline>
              </w:drawing>
            </w:r>
          </w:p>
        </w:tc>
        <w:tc>
          <w:tcPr>
            <w:tcW w:w="8080" w:type="dxa"/>
            <w:gridSpan w:val="3"/>
            <w:tcMar>
              <w:top w:w="113" w:type="dxa"/>
              <w:left w:w="80" w:type="dxa"/>
              <w:bottom w:w="113" w:type="dxa"/>
              <w:right w:w="80" w:type="dxa"/>
            </w:tcMar>
          </w:tcPr>
          <w:p w14:paraId="22D44083" w14:textId="77777777" w:rsidR="00D5651F" w:rsidRPr="00D5651F" w:rsidRDefault="00D5651F" w:rsidP="00031F55">
            <w:pPr>
              <w:pStyle w:val="Tabellentext785BulletInhalt"/>
              <w:spacing w:before="60"/>
              <w:ind w:right="113"/>
            </w:pPr>
            <w:r w:rsidRPr="00D5651F">
              <w:t>Benetzte Kleidung (auch Unterkleidung) sofort ausziehen und erst nach desinfizierender Reinigung wieder verwenden.</w:t>
            </w:r>
          </w:p>
          <w:p w14:paraId="43BBADA4" w14:textId="77777777" w:rsidR="00D5651F" w:rsidRPr="00D5651F" w:rsidRDefault="00D5651F" w:rsidP="00031F55">
            <w:pPr>
              <w:pStyle w:val="Tabellentext785BulletInhalt"/>
              <w:ind w:right="113"/>
            </w:pPr>
            <w:r w:rsidRPr="00D5651F">
              <w:t>Offene Wunde ausspülen, möglichst ausbluten lassen und sofort mit Wund-Desinfektionsmittel einsprühen, Desinfektionsmittel ggf. nachdosieren und nach Vorschrift, mindestens jedoch 30 Minuten einwirken lassen.</w:t>
            </w:r>
          </w:p>
          <w:p w14:paraId="1201546F" w14:textId="77777777" w:rsidR="00D5651F" w:rsidRPr="00D5651F" w:rsidRDefault="00D5651F" w:rsidP="00031F55">
            <w:pPr>
              <w:pStyle w:val="Tabellentext785BulletInhalt"/>
              <w:ind w:right="113"/>
            </w:pPr>
            <w:r w:rsidRPr="00D5651F">
              <w:t>Bei Spritzer ins Auge mit der Augendusche intensiv spülen. Anschließend Augentropfen (Einmalphiole …) einträufeln.</w:t>
            </w:r>
          </w:p>
          <w:p w14:paraId="5810D05C" w14:textId="77777777" w:rsidR="00D5651F" w:rsidRPr="00D5651F" w:rsidRDefault="00D5651F" w:rsidP="00031F55">
            <w:pPr>
              <w:pStyle w:val="Tabellentext785BulletInhalt"/>
              <w:ind w:right="113"/>
            </w:pPr>
            <w:r w:rsidRPr="00D5651F">
              <w:t>Gelangt erregerhaltiges Material in den Mund, sofort ausspucken und gründlich mit frisch angesetzter 1 %</w:t>
            </w:r>
            <w:proofErr w:type="spellStart"/>
            <w:r w:rsidRPr="00D5651F">
              <w:t>iger</w:t>
            </w:r>
            <w:proofErr w:type="spellEnd"/>
            <w:r w:rsidRPr="00D5651F">
              <w:t xml:space="preserve"> </w:t>
            </w:r>
            <w:proofErr w:type="spellStart"/>
            <w:r w:rsidRPr="00D5651F">
              <w:t>Wasserstoffperoxidlösung</w:t>
            </w:r>
            <w:proofErr w:type="spellEnd"/>
            <w:r w:rsidRPr="00D5651F">
              <w:t xml:space="preserve"> gurgeln. </w:t>
            </w:r>
          </w:p>
          <w:p w14:paraId="18162F71" w14:textId="77777777" w:rsidR="00D5651F" w:rsidRPr="00D5651F" w:rsidRDefault="00D5651F" w:rsidP="00031F55">
            <w:pPr>
              <w:pStyle w:val="Tabellentext785BulletInhalt"/>
              <w:ind w:right="113"/>
            </w:pPr>
            <w:r w:rsidRPr="00D5651F">
              <w:t xml:space="preserve">Verletzungen sind sofort dem/der zuständigen Vorgesetzten zu melden und in das Verbandbuch einzutragen. </w:t>
            </w:r>
          </w:p>
          <w:p w14:paraId="2626C99C" w14:textId="77777777" w:rsidR="00D5651F" w:rsidRPr="00D5651F" w:rsidRDefault="00D5651F" w:rsidP="00031F55">
            <w:pPr>
              <w:pStyle w:val="Tabellentext785BulletInhalt"/>
              <w:spacing w:after="60"/>
              <w:ind w:right="113"/>
            </w:pPr>
            <w:r w:rsidRPr="00D5651F">
              <w:t xml:space="preserve">Bei intensivem Kontakt (z. B. Verschlucken, Einatmen, Inkorporation durch Verletzungen) Arzt/Ärztin aufsuchen.  </w:t>
            </w:r>
          </w:p>
        </w:tc>
      </w:tr>
      <w:tr w:rsidR="00D5651F" w:rsidRPr="00D5651F" w14:paraId="38E93594" w14:textId="77777777" w:rsidTr="00031F55">
        <w:trPr>
          <w:trHeight w:val="216"/>
        </w:trPr>
        <w:tc>
          <w:tcPr>
            <w:tcW w:w="9214" w:type="dxa"/>
            <w:gridSpan w:val="4"/>
            <w:shd w:val="solid" w:color="9BBB59" w:themeColor="accent3" w:fill="auto"/>
            <w:tcMar>
              <w:top w:w="57" w:type="dxa"/>
              <w:left w:w="80" w:type="dxa"/>
              <w:bottom w:w="57" w:type="dxa"/>
              <w:right w:w="80" w:type="dxa"/>
            </w:tcMar>
          </w:tcPr>
          <w:p w14:paraId="62AD9991" w14:textId="77777777" w:rsidR="00D5651F" w:rsidRPr="00004CD1" w:rsidRDefault="00D5651F" w:rsidP="00D5651F">
            <w:pPr>
              <w:widowControl w:val="0"/>
              <w:tabs>
                <w:tab w:val="left" w:pos="283"/>
              </w:tabs>
              <w:autoSpaceDE w:val="0"/>
              <w:autoSpaceDN w:val="0"/>
              <w:adjustRightInd w:val="0"/>
              <w:spacing w:after="0" w:line="241" w:lineRule="atLeast"/>
              <w:jc w:val="center"/>
              <w:textAlignment w:val="center"/>
              <w:rPr>
                <w:b/>
                <w:color w:val="000000"/>
                <w:szCs w:val="18"/>
                <w:lang w:eastAsia="de-DE"/>
              </w:rPr>
            </w:pPr>
            <w:r w:rsidRPr="00004CD1">
              <w:rPr>
                <w:b/>
                <w:color w:val="FFFFFF"/>
                <w:szCs w:val="18"/>
                <w:lang w:eastAsia="de-DE"/>
              </w:rPr>
              <w:t>SACHGERECHTE ENTSORGUNG</w:t>
            </w:r>
          </w:p>
        </w:tc>
      </w:tr>
      <w:tr w:rsidR="00D5651F" w:rsidRPr="00D5651F" w14:paraId="640AC1DF" w14:textId="77777777" w:rsidTr="00031F55">
        <w:trPr>
          <w:trHeight w:val="60"/>
        </w:trPr>
        <w:tc>
          <w:tcPr>
            <w:tcW w:w="1134" w:type="dxa"/>
            <w:tcMar>
              <w:top w:w="80" w:type="dxa"/>
              <w:left w:w="80" w:type="dxa"/>
              <w:bottom w:w="170" w:type="dxa"/>
              <w:right w:w="80" w:type="dxa"/>
            </w:tcMar>
            <w:vAlign w:val="center"/>
          </w:tcPr>
          <w:p w14:paraId="65B949CD" w14:textId="07179648" w:rsidR="00D5651F" w:rsidRPr="00D5651F" w:rsidRDefault="00031F55" w:rsidP="00031F55">
            <w:pPr>
              <w:widowControl w:val="0"/>
              <w:suppressAutoHyphens/>
              <w:autoSpaceDE w:val="0"/>
              <w:autoSpaceDN w:val="0"/>
              <w:adjustRightInd w:val="0"/>
              <w:spacing w:after="0" w:line="288" w:lineRule="auto"/>
              <w:jc w:val="center"/>
              <w:textAlignment w:val="center"/>
              <w:rPr>
                <w:color w:val="000000"/>
                <w:sz w:val="24"/>
                <w:lang w:eastAsia="de-DE"/>
              </w:rPr>
            </w:pPr>
            <w:r>
              <w:rPr>
                <w:noProof/>
                <w:color w:val="000000"/>
                <w:sz w:val="24"/>
                <w:lang w:eastAsia="de-DE"/>
              </w:rPr>
              <w:drawing>
                <wp:inline distT="0" distB="0" distL="0" distR="0" wp14:anchorId="5BDAEA4F" wp14:editId="06F18A4C">
                  <wp:extent cx="462275" cy="347345"/>
                  <wp:effectExtent l="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tretch>
                            <a:fillRect/>
                          </a:stretch>
                        </pic:blipFill>
                        <pic:spPr bwMode="auto">
                          <a:xfrm>
                            <a:off x="0" y="0"/>
                            <a:ext cx="462275" cy="347345"/>
                          </a:xfrm>
                          <a:prstGeom prst="rect">
                            <a:avLst/>
                          </a:prstGeom>
                          <a:noFill/>
                          <a:ln>
                            <a:noFill/>
                          </a:ln>
                        </pic:spPr>
                      </pic:pic>
                    </a:graphicData>
                  </a:graphic>
                </wp:inline>
              </w:drawing>
            </w:r>
          </w:p>
        </w:tc>
        <w:tc>
          <w:tcPr>
            <w:tcW w:w="8080" w:type="dxa"/>
            <w:gridSpan w:val="3"/>
            <w:tcMar>
              <w:top w:w="113" w:type="dxa"/>
              <w:left w:w="80" w:type="dxa"/>
              <w:bottom w:w="170" w:type="dxa"/>
              <w:right w:w="80" w:type="dxa"/>
            </w:tcMar>
          </w:tcPr>
          <w:p w14:paraId="105131EA" w14:textId="77777777" w:rsidR="00D5651F" w:rsidRPr="00D5651F" w:rsidRDefault="00D5651F" w:rsidP="00031F55">
            <w:pPr>
              <w:pStyle w:val="Tabellentext785BulletInhalt"/>
              <w:spacing w:before="60"/>
              <w:ind w:right="113"/>
            </w:pPr>
            <w:r w:rsidRPr="00D5651F">
              <w:t>Kontaminierte Geräte und Instrumente gemäß Hygieneplan regelmäßig reinigen und desinfizieren, sterilisieren oder autoklavieren.</w:t>
            </w:r>
          </w:p>
          <w:p w14:paraId="15F49BD4" w14:textId="77777777" w:rsidR="00D5651F" w:rsidRPr="00D5651F" w:rsidRDefault="00D5651F" w:rsidP="00031F55">
            <w:pPr>
              <w:pStyle w:val="Tabellentext785BulletInhalt"/>
              <w:ind w:right="113"/>
            </w:pPr>
            <w:r w:rsidRPr="00D5651F">
              <w:t>Sämtliche kontaminierten Wegwerf-Abfälle in den gekennzeichneten Abfallbehältern (</w:t>
            </w:r>
            <w:proofErr w:type="spellStart"/>
            <w:r w:rsidRPr="00D5651F">
              <w:t>Inlinersack</w:t>
            </w:r>
            <w:proofErr w:type="spellEnd"/>
            <w:r w:rsidRPr="00D5651F">
              <w:t>) sammeln und bei Bedarf, spätestens vor dem Wochenende autoklavieren. Die Entsorgung erfolgt danach über die Haustechnik (zuständig: Herr/Frau ... Tel. …).</w:t>
            </w:r>
          </w:p>
        </w:tc>
      </w:tr>
    </w:tbl>
    <w:p w14:paraId="5098B432" w14:textId="77777777" w:rsidR="00933645" w:rsidRPr="00933645" w:rsidRDefault="00933645" w:rsidP="00933645"/>
    <w:sectPr w:rsidR="00933645" w:rsidRPr="00933645" w:rsidSect="00EA558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DGUVMeta-Normal">
    <w:altName w:val="Arial"/>
    <w:panose1 w:val="00000000000000000000"/>
    <w:charset w:val="4D"/>
    <w:family w:val="auto"/>
    <w:notTrueType/>
    <w:pitch w:val="default"/>
    <w:sig w:usb0="00000003" w:usb1="00000000" w:usb2="00000000" w:usb3="00000000" w:csb0="00000001" w:csb1="00000000"/>
  </w:font>
  <w:font w:name="DGUVMeta-Bold">
    <w:altName w:val="Arial"/>
    <w:panose1 w:val="00000000000000000000"/>
    <w:charset w:val="4D"/>
    <w:family w:val="auto"/>
    <w:notTrueType/>
    <w:pitch w:val="default"/>
    <w:sig w:usb0="00000003" w:usb1="00000000" w:usb2="00000000" w:usb3="00000000" w:csb0="00000001" w:csb1="00000000"/>
  </w:font>
  <w:font w:name="DGUVMeta-Medium">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E63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B20B51"/>
    <w:multiLevelType w:val="hybridMultilevel"/>
    <w:tmpl w:val="856E3970"/>
    <w:lvl w:ilvl="0" w:tplc="EFDA2658">
      <w:start w:val="1"/>
      <w:numFmt w:val="bullet"/>
      <w:pStyle w:val="Tabellentext785BulletInhal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954069"/>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645"/>
    <w:rsid w:val="00004CD1"/>
    <w:rsid w:val="00031F55"/>
    <w:rsid w:val="000B719B"/>
    <w:rsid w:val="002C0A74"/>
    <w:rsid w:val="00355BDA"/>
    <w:rsid w:val="00394C87"/>
    <w:rsid w:val="00441876"/>
    <w:rsid w:val="004F2F4C"/>
    <w:rsid w:val="005C05A6"/>
    <w:rsid w:val="0068006A"/>
    <w:rsid w:val="00817CE7"/>
    <w:rsid w:val="00933645"/>
    <w:rsid w:val="009F62AD"/>
    <w:rsid w:val="00AB2C69"/>
    <w:rsid w:val="00D5651F"/>
    <w:rsid w:val="00EA5587"/>
    <w:rsid w:val="00FA57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FC54"/>
  <w14:defaultImageDpi w14:val="300"/>
  <w15:docId w15:val="{B87E7C05-9C6B-44E5-BBBA-6E0CC973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1F55"/>
    <w:pPr>
      <w:spacing w:after="320" w:line="360" w:lineRule="exact"/>
      <w:jc w:val="both"/>
    </w:pPr>
    <w:rPr>
      <w:rFonts w:ascii="Arial" w:hAnsi="Arial" w:cs="Arial"/>
      <w:sz w:val="18"/>
      <w:lang w:eastAsia="ja-JP"/>
    </w:rPr>
  </w:style>
  <w:style w:type="paragraph" w:styleId="berschrift1">
    <w:name w:val="heading 1"/>
    <w:basedOn w:val="Standard"/>
    <w:next w:val="Standard"/>
    <w:link w:val="berschrift1Zchn"/>
    <w:uiPriority w:val="9"/>
    <w:qFormat/>
    <w:rsid w:val="0093364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autoRedefine/>
    <w:uiPriority w:val="99"/>
    <w:unhideWhenUsed/>
    <w:rsid w:val="009F62AD"/>
    <w:pPr>
      <w:tabs>
        <w:tab w:val="left" w:pos="284"/>
        <w:tab w:val="left" w:pos="567"/>
        <w:tab w:val="left" w:pos="2835"/>
      </w:tabs>
    </w:pPr>
    <w:rPr>
      <w:rFonts w:ascii="Arial" w:hAnsi="Arial"/>
      <w:sz w:val="16"/>
    </w:rPr>
  </w:style>
  <w:style w:type="character" w:customStyle="1" w:styleId="FunotentextZchn">
    <w:name w:val="Fußnotentext Zchn"/>
    <w:basedOn w:val="Absatz-Standardschriftart"/>
    <w:link w:val="Funotentext"/>
    <w:uiPriority w:val="99"/>
    <w:rsid w:val="009F62AD"/>
    <w:rPr>
      <w:rFonts w:ascii="Arial" w:hAnsi="Arial"/>
      <w:sz w:val="16"/>
    </w:rPr>
  </w:style>
  <w:style w:type="paragraph" w:customStyle="1" w:styleId="Tabellenkopf">
    <w:name w:val="Tabellenkopf"/>
    <w:qFormat/>
    <w:rsid w:val="005C05A6"/>
    <w:pPr>
      <w:spacing w:after="160" w:line="259" w:lineRule="auto"/>
    </w:pPr>
    <w:rPr>
      <w:rFonts w:ascii="Arial" w:eastAsiaTheme="minorHAnsi" w:hAnsi="Arial"/>
      <w:b/>
      <w:color w:val="FFFFFF" w:themeColor="background1"/>
      <w:sz w:val="20"/>
      <w:szCs w:val="22"/>
      <w:lang w:eastAsia="en-US"/>
    </w:rPr>
  </w:style>
  <w:style w:type="paragraph" w:customStyle="1" w:styleId="Tabellentext">
    <w:name w:val="Tabellentext"/>
    <w:qFormat/>
    <w:rsid w:val="005C05A6"/>
    <w:pPr>
      <w:spacing w:after="160" w:line="259" w:lineRule="auto"/>
    </w:pPr>
    <w:rPr>
      <w:rFonts w:ascii="Arial" w:eastAsiaTheme="minorHAnsi" w:hAnsi="Arial"/>
      <w:b/>
      <w:sz w:val="20"/>
      <w:szCs w:val="22"/>
      <w:lang w:eastAsia="en-US"/>
    </w:rPr>
  </w:style>
  <w:style w:type="paragraph" w:styleId="Sprechblasentext">
    <w:name w:val="Balloon Text"/>
    <w:basedOn w:val="Standard"/>
    <w:link w:val="SprechblasentextZchn"/>
    <w:uiPriority w:val="99"/>
    <w:semiHidden/>
    <w:unhideWhenUsed/>
    <w:rsid w:val="00817CE7"/>
    <w:pPr>
      <w:spacing w:after="0" w:line="240" w:lineRule="auto"/>
    </w:pPr>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817CE7"/>
    <w:rPr>
      <w:rFonts w:ascii="Lucida Grande" w:hAnsi="Lucida Grande" w:cs="Lucida Grande"/>
      <w:sz w:val="18"/>
      <w:szCs w:val="18"/>
      <w:lang w:eastAsia="ja-JP"/>
    </w:rPr>
  </w:style>
  <w:style w:type="numbering" w:styleId="111111">
    <w:name w:val="Outline List 2"/>
    <w:basedOn w:val="KeineListe"/>
    <w:uiPriority w:val="99"/>
    <w:semiHidden/>
    <w:unhideWhenUsed/>
    <w:rsid w:val="00394C87"/>
    <w:pPr>
      <w:numPr>
        <w:numId w:val="2"/>
      </w:numPr>
    </w:pPr>
  </w:style>
  <w:style w:type="character" w:customStyle="1" w:styleId="berschrift1Zchn">
    <w:name w:val="Überschrift 1 Zchn"/>
    <w:basedOn w:val="Absatz-Standardschriftart"/>
    <w:link w:val="berschrift1"/>
    <w:uiPriority w:val="9"/>
    <w:rsid w:val="00933645"/>
    <w:rPr>
      <w:rFonts w:asciiTheme="majorHAnsi" w:eastAsiaTheme="majorEastAsia" w:hAnsiTheme="majorHAnsi" w:cstheme="majorBidi"/>
      <w:b/>
      <w:bCs/>
      <w:color w:val="345A8A" w:themeColor="accent1" w:themeShade="B5"/>
      <w:sz w:val="32"/>
      <w:szCs w:val="32"/>
      <w:lang w:eastAsia="ja-JP"/>
    </w:rPr>
  </w:style>
  <w:style w:type="paragraph" w:customStyle="1" w:styleId="KeinAbsatzformat">
    <w:name w:val="[Kein Absatzformat]"/>
    <w:rsid w:val="00933645"/>
    <w:pPr>
      <w:widowControl w:val="0"/>
      <w:autoSpaceDE w:val="0"/>
      <w:autoSpaceDN w:val="0"/>
      <w:adjustRightInd w:val="0"/>
      <w:spacing w:line="288" w:lineRule="auto"/>
      <w:textAlignment w:val="center"/>
    </w:pPr>
    <w:rPr>
      <w:rFonts w:ascii="DGUVMeta-Normal" w:hAnsi="DGUVMeta-Normal" w:cs="Times New Roman"/>
      <w:color w:val="000000"/>
    </w:rPr>
  </w:style>
  <w:style w:type="paragraph" w:customStyle="1" w:styleId="Tabellentext785Inhalt">
    <w:name w:val="Tabellentext 7_8.5 (Inhalt)"/>
    <w:basedOn w:val="KeinAbsatzformat"/>
    <w:next w:val="KeinAbsatzformat"/>
    <w:uiPriority w:val="99"/>
    <w:rsid w:val="0068006A"/>
    <w:pPr>
      <w:spacing w:line="170" w:lineRule="atLeast"/>
    </w:pPr>
    <w:rPr>
      <w:rFonts w:ascii="Arial" w:hAnsi="Arial" w:cs="DGUVMeta-Normal"/>
      <w:sz w:val="18"/>
      <w:szCs w:val="14"/>
    </w:rPr>
  </w:style>
  <w:style w:type="paragraph" w:customStyle="1" w:styleId="SubheadlineInhalt">
    <w:name w:val="Subheadline (Inhalt)"/>
    <w:basedOn w:val="KeinAbsatzformat"/>
    <w:uiPriority w:val="99"/>
    <w:rsid w:val="00933645"/>
    <w:pPr>
      <w:tabs>
        <w:tab w:val="left" w:pos="312"/>
      </w:tabs>
      <w:spacing w:before="283" w:after="113" w:line="280" w:lineRule="atLeast"/>
    </w:pPr>
    <w:rPr>
      <w:rFonts w:ascii="DGUVMeta-Bold" w:hAnsi="DGUVMeta-Bold" w:cs="DGUVMeta-Bold"/>
      <w:b/>
      <w:bCs/>
      <w:color w:val="323232"/>
    </w:rPr>
  </w:style>
  <w:style w:type="paragraph" w:customStyle="1" w:styleId="TabellentexthfInhalt">
    <w:name w:val="Tabellentext hf (Inhalt)"/>
    <w:basedOn w:val="KeinAbsatzformat"/>
    <w:uiPriority w:val="99"/>
    <w:rsid w:val="00933645"/>
    <w:pPr>
      <w:spacing w:line="190" w:lineRule="atLeast"/>
    </w:pPr>
    <w:rPr>
      <w:rFonts w:ascii="DGUVMeta-Medium" w:hAnsi="DGUVMeta-Medium" w:cs="DGUVMeta-Medium"/>
      <w:sz w:val="16"/>
      <w:szCs w:val="16"/>
    </w:rPr>
  </w:style>
  <w:style w:type="paragraph" w:customStyle="1" w:styleId="FliesstextohneRegisterInhalt">
    <w:name w:val="Fliesstext ohne Register (Inhalt)"/>
    <w:basedOn w:val="Standard"/>
    <w:uiPriority w:val="99"/>
    <w:rsid w:val="00933645"/>
    <w:pPr>
      <w:widowControl w:val="0"/>
      <w:tabs>
        <w:tab w:val="left" w:pos="283"/>
      </w:tabs>
      <w:autoSpaceDE w:val="0"/>
      <w:autoSpaceDN w:val="0"/>
      <w:adjustRightInd w:val="0"/>
      <w:spacing w:after="0" w:line="241" w:lineRule="atLeast"/>
      <w:textAlignment w:val="center"/>
    </w:pPr>
    <w:rPr>
      <w:rFonts w:cs="DGUVMeta-Medium"/>
      <w:b/>
      <w:color w:val="000000"/>
      <w:sz w:val="20"/>
      <w:szCs w:val="18"/>
      <w:lang w:eastAsia="de-DE"/>
    </w:rPr>
  </w:style>
  <w:style w:type="paragraph" w:customStyle="1" w:styleId="Tabellentext785BulletInhalt">
    <w:name w:val="Tabellentext 7_8.5 Bullet (Inhalt)"/>
    <w:basedOn w:val="KeinAbsatzformat"/>
    <w:next w:val="KeinAbsatzformat"/>
    <w:uiPriority w:val="99"/>
    <w:rsid w:val="00933645"/>
    <w:pPr>
      <w:numPr>
        <w:numId w:val="3"/>
      </w:numPr>
      <w:spacing w:line="170" w:lineRule="atLeast"/>
      <w:ind w:left="227" w:hanging="227"/>
    </w:pPr>
    <w:rPr>
      <w:rFonts w:ascii="Arial" w:hAnsi="Arial" w:cs="DGUVMeta-Normal"/>
      <w:sz w:val="18"/>
      <w:szCs w:val="14"/>
    </w:rPr>
  </w:style>
  <w:style w:type="character" w:customStyle="1" w:styleId="bold">
    <w:name w:val="bold"/>
    <w:uiPriority w:val="99"/>
    <w:rsid w:val="00933645"/>
    <w:rPr>
      <w:rFonts w:ascii="Arial" w:hAnsi="Arial" w:cs="DGUVMeta-Bold"/>
      <w:b/>
      <w:bCs/>
      <w:color w:val="000000"/>
      <w:sz w:val="18"/>
    </w:rPr>
  </w:style>
  <w:style w:type="character" w:customStyle="1" w:styleId="medium">
    <w:name w:val="medium"/>
    <w:uiPriority w:val="99"/>
    <w:rsid w:val="00933645"/>
    <w:rPr>
      <w:rFonts w:ascii="DGUVMeta-Medium" w:hAnsi="DGUVMeta-Medium" w:cs="DGUVMeta-Medium"/>
    </w:rPr>
  </w:style>
  <w:style w:type="paragraph" w:customStyle="1" w:styleId="FliesstextInhalt">
    <w:name w:val="Fliesstext (Inhalt)"/>
    <w:basedOn w:val="KeinAbsatzformat"/>
    <w:uiPriority w:val="99"/>
    <w:rsid w:val="00D5651F"/>
    <w:pPr>
      <w:tabs>
        <w:tab w:val="left" w:pos="283"/>
      </w:tabs>
      <w:spacing w:line="256" w:lineRule="atLeast"/>
      <w:jc w:val="both"/>
    </w:pPr>
    <w:rPr>
      <w:rFonts w:cs="DGUVMeta-Normal"/>
      <w:sz w:val="20"/>
      <w:szCs w:val="20"/>
    </w:rPr>
  </w:style>
  <w:style w:type="paragraph" w:customStyle="1" w:styleId="HeadlineInhalt">
    <w:name w:val="Headline (Inhalt)"/>
    <w:basedOn w:val="KeinAbsatzformat"/>
    <w:uiPriority w:val="99"/>
    <w:rsid w:val="00D5651F"/>
    <w:pPr>
      <w:pageBreakBefore/>
      <w:tabs>
        <w:tab w:val="left" w:pos="454"/>
        <w:tab w:val="right" w:pos="935"/>
        <w:tab w:val="left" w:pos="1162"/>
      </w:tabs>
      <w:spacing w:line="440" w:lineRule="atLeast"/>
    </w:pPr>
    <w:rPr>
      <w:rFonts w:ascii="DGUVMeta-Bold" w:hAnsi="DGUVMeta-Bold" w:cs="DGUVMeta-Bold"/>
      <w:b/>
      <w:bCs/>
      <w:color w:val="3232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M+M Druck GmbH</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Steffan</dc:creator>
  <cp:keywords/>
  <dc:description/>
  <cp:lastModifiedBy>Melanie Fiebiger</cp:lastModifiedBy>
  <cp:revision>2</cp:revision>
  <cp:lastPrinted>2020-02-26T09:10:00Z</cp:lastPrinted>
  <dcterms:created xsi:type="dcterms:W3CDTF">2020-02-26T12:30:00Z</dcterms:created>
  <dcterms:modified xsi:type="dcterms:W3CDTF">2020-02-26T12:30:00Z</dcterms:modified>
</cp:coreProperties>
</file>