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EE24" w14:textId="50FC62EF" w:rsidR="009E7B95" w:rsidRDefault="001F01DF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72470739">
          <v:rect id="_x0000_s1033" style="position:absolute;margin-left:-5.75pt;margin-top:-1.2pt;width:548.4pt;height:764.25pt;z-index:251657728" o:allowincell="f" filled="f" strokecolor="red" strokeweight="7pt"/>
        </w:pict>
      </w:r>
      <w:r>
        <w:rPr>
          <w:noProof/>
          <w:szCs w:val="24"/>
        </w:rPr>
        <w:pict w14:anchorId="29ECFD56">
          <v:rect id="_x0000_s1034" style="position:absolute;margin-left:398.65pt;margin-top:4.8pt;width:138pt;height:30.1pt;z-index:251658752" o:allowincell="f" stroked="f" strokeweight="0">
            <v:textbox inset="0,0,0,0">
              <w:txbxContent>
                <w:p w14:paraId="61844578" w14:textId="77777777" w:rsidR="009E7B95" w:rsidRDefault="003F6A24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03BF87D0">
          <v:rect id="_x0000_s1032" style="position:absolute;margin-left:184.9pt;margin-top:1.05pt;width:177.75pt;height:39.75pt;z-index:251656704" o:allowincell="f" filled="f" stroked="f" strokeweight="0">
            <v:textbox inset="0,0,0,0">
              <w:txbxContent>
                <w:p w14:paraId="3E5D839B" w14:textId="77777777" w:rsidR="009E7B95" w:rsidRDefault="003F6A24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48EA156" w14:textId="77777777" w:rsidR="009E7B95" w:rsidRDefault="003F6A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3F6A24">
        <w:rPr>
          <w:szCs w:val="24"/>
        </w:rPr>
        <w:t>Nummer: G</w:t>
      </w:r>
      <w:r w:rsidR="003F6A24">
        <w:rPr>
          <w:szCs w:val="24"/>
        </w:rPr>
        <w:tab/>
        <w:t xml:space="preserve">Betrieb: </w:t>
      </w:r>
    </w:p>
    <w:p w14:paraId="1189A0D7" w14:textId="1D8F4DDB" w:rsidR="009E7B95" w:rsidRDefault="003F6A24">
      <w:pPr>
        <w:rPr>
          <w:szCs w:val="24"/>
        </w:rPr>
      </w:pPr>
      <w:r>
        <w:rPr>
          <w:szCs w:val="24"/>
        </w:rPr>
        <w:t xml:space="preserve">Bearbeitungsstand: </w:t>
      </w:r>
      <w:r w:rsidR="003F4ECA">
        <w:rPr>
          <w:szCs w:val="24"/>
        </w:rPr>
        <w:t>09/23</w:t>
      </w:r>
    </w:p>
    <w:p w14:paraId="67EC0FB3" w14:textId="77777777" w:rsidR="009E7B95" w:rsidRDefault="009E7B95">
      <w:pPr>
        <w:rPr>
          <w:szCs w:val="24"/>
        </w:rPr>
      </w:pPr>
    </w:p>
    <w:p w14:paraId="66233DB0" w14:textId="77777777" w:rsidR="009E7B95" w:rsidRDefault="003F6A24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61753E" w:rsidRPr="0061753E" w14:paraId="2DA559AC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710265D9" w14:textId="77777777" w:rsidR="009E7B95" w:rsidRPr="0061753E" w:rsidRDefault="009E7B95">
            <w:pPr>
              <w:spacing w:line="360" w:lineRule="atLeast"/>
            </w:pP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040A18AB" w14:textId="77777777" w:rsidR="009E7B95" w:rsidRPr="0061753E" w:rsidRDefault="003F6A24">
            <w:pPr>
              <w:pStyle w:val="berschrift2"/>
              <w:jc w:val="center"/>
              <w:rPr>
                <w:b/>
                <w:color w:val="auto"/>
              </w:rPr>
            </w:pPr>
            <w:r w:rsidRPr="0061753E">
              <w:rPr>
                <w:b/>
                <w:color w:val="auto"/>
              </w:rPr>
              <w:t xml:space="preserve">1. </w:t>
            </w:r>
            <w:r w:rsidRPr="0061753E">
              <w:rPr>
                <w:b/>
                <w:caps/>
                <w:color w:val="auto"/>
              </w:rPr>
              <w:t>Gefahrstoffbezeichnung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1260FBB7" w14:textId="77777777" w:rsidR="009E7B95" w:rsidRPr="0061753E" w:rsidRDefault="009E7B95">
            <w:pPr>
              <w:spacing w:line="360" w:lineRule="atLeast"/>
            </w:pPr>
          </w:p>
        </w:tc>
      </w:tr>
      <w:tr w:rsidR="009E7B95" w14:paraId="6C06A57C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3B6DEC2F" w14:textId="77777777" w:rsidR="009E7B95" w:rsidRDefault="009E7B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030A929B" w14:textId="77777777" w:rsidR="009E7B95" w:rsidRDefault="003F6A24">
            <w:pPr>
              <w:pStyle w:val="berschrift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Acetylen zum Schweißen in Druckgasflaschen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47A6FB61" w14:textId="77777777" w:rsidR="009E7B95" w:rsidRDefault="009E7B95">
            <w:pPr>
              <w:jc w:val="center"/>
              <w:rPr>
                <w:sz w:val="26"/>
                <w:szCs w:val="26"/>
              </w:rPr>
            </w:pPr>
          </w:p>
        </w:tc>
      </w:tr>
      <w:tr w:rsidR="0061753E" w:rsidRPr="0061753E" w14:paraId="4C35AFFF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56077072" w14:textId="77777777" w:rsidR="009E7B95" w:rsidRPr="0061753E" w:rsidRDefault="009E7B95">
            <w:pPr>
              <w:spacing w:line="360" w:lineRule="atLeast"/>
            </w:pP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76719C8D" w14:textId="77777777" w:rsidR="009E7B95" w:rsidRPr="0061753E" w:rsidRDefault="003F6A24">
            <w:pPr>
              <w:pStyle w:val="berschrift3"/>
              <w:rPr>
                <w:color w:val="auto"/>
              </w:rPr>
            </w:pPr>
            <w:r w:rsidRPr="0061753E">
              <w:rPr>
                <w:color w:val="auto"/>
              </w:rPr>
              <w:t xml:space="preserve">2. </w:t>
            </w:r>
            <w:r w:rsidRPr="0061753E">
              <w:rPr>
                <w:caps/>
                <w:color w:val="auto"/>
              </w:rPr>
              <w:t>Gefahren für Mensch und Umwelt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7F8FD6F0" w14:textId="77777777" w:rsidR="009E7B95" w:rsidRPr="0061753E" w:rsidRDefault="009E7B95">
            <w:pPr>
              <w:spacing w:line="360" w:lineRule="atLeast"/>
            </w:pPr>
          </w:p>
        </w:tc>
      </w:tr>
      <w:tr w:rsidR="009E7B95" w14:paraId="5025625E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42AD9863" w14:textId="77777777" w:rsidR="009E7B95" w:rsidRDefault="009E7B95">
            <w:pPr>
              <w:pStyle w:val="Kommentartext"/>
            </w:pPr>
          </w:p>
          <w:p w14:paraId="18BBE423" w14:textId="77777777" w:rsidR="009E7B95" w:rsidRDefault="001F01DF">
            <w:r>
              <w:pict w14:anchorId="65C9F9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>
                  <v:imagedata r:id="rId5" o:title=""/>
                </v:shape>
              </w:pict>
            </w:r>
          </w:p>
          <w:p w14:paraId="7B2BC1D7" w14:textId="77777777" w:rsidR="009E7B95" w:rsidRDefault="009E7B95">
            <w:pPr>
              <w:rPr>
                <w:sz w:val="4"/>
              </w:rPr>
            </w:pPr>
          </w:p>
          <w:p w14:paraId="58B85EF9" w14:textId="77777777" w:rsidR="009E7B95" w:rsidRDefault="001F01DF">
            <w:pPr>
              <w:jc w:val="center"/>
            </w:pPr>
            <w:r>
              <w:pict w14:anchorId="1077588A">
                <v:shape id="_x0000_i1026" type="#_x0000_t75" style="width:48.6pt;height:51pt">
                  <v:imagedata r:id="rId6" o:title=""/>
                </v:shape>
              </w:pict>
            </w:r>
            <w:r w:rsidR="003F6A24">
              <w:t>Gefahr</w:t>
            </w:r>
          </w:p>
          <w:p w14:paraId="342058B0" w14:textId="77777777" w:rsidR="009E7B95" w:rsidRDefault="009E7B95">
            <w:pPr>
              <w:jc w:val="center"/>
              <w:rPr>
                <w:noProof/>
                <w:sz w:val="4"/>
              </w:rPr>
            </w:pP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57F736CC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Extrem entzündbares Gas.</w:t>
            </w:r>
          </w:p>
          <w:p w14:paraId="41FE084D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Mit und ohne Luft explosionsfähig.</w:t>
            </w:r>
          </w:p>
          <w:p w14:paraId="499143CB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Acetylen kann zur Verdrängung des Luftsauerstoffs führen. Erstickungsgefahr!</w:t>
            </w:r>
          </w:p>
          <w:p w14:paraId="64E2AA12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 xml:space="preserve">Einatmen kann zu Gesundheitsschäden führen. </w:t>
            </w:r>
          </w:p>
          <w:p w14:paraId="66A360E2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 xml:space="preserve">Acetylen neigt bei höheren Temperaturen zur Selbstzersetzung. Dies hat eine Temperaturerhöhung und eine erhebliche Drucksteigerung bis hin zur </w:t>
            </w:r>
            <w:r>
              <w:rPr>
                <w:b/>
                <w:sz w:val="22"/>
              </w:rPr>
              <w:t>Flaschenexplosion</w:t>
            </w:r>
            <w:r>
              <w:rPr>
                <w:sz w:val="22"/>
              </w:rPr>
              <w:t xml:space="preserve"> zur Folge</w:t>
            </w:r>
            <w:r>
              <w:t>.</w:t>
            </w:r>
          </w:p>
          <w:p w14:paraId="24C8B0F8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Greift folgende Werkstoffe an: Kupfer (Legierungen mit mehr als 65% Cu), Silber, acetonlöslicher Kautschuk und Kunststoffe.</w:t>
            </w:r>
          </w:p>
          <w:p w14:paraId="4239DF07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17"/>
              </w:rPr>
            </w:pPr>
            <w:r>
              <w:rPr>
                <w:sz w:val="22"/>
              </w:rPr>
              <w:t>Reagiert mit starken Oxidationsmitteln unter heftiger Wärmeentwicklung.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412DED94" w14:textId="77777777" w:rsidR="009E7B95" w:rsidRDefault="009E7B95">
            <w:pPr>
              <w:spacing w:before="60"/>
              <w:jc w:val="center"/>
            </w:pPr>
          </w:p>
          <w:p w14:paraId="1A001F09" w14:textId="74FDBFC6" w:rsidR="009E7B95" w:rsidRDefault="001F01DF">
            <w:pPr>
              <w:spacing w:before="60"/>
              <w:jc w:val="center"/>
            </w:pPr>
            <w:r>
              <w:rPr>
                <w:noProof/>
              </w:rPr>
              <w:pict w14:anchorId="46E44C0C">
                <v:shape id="Grafik 35" o:spid="_x0000_i1027" type="#_x0000_t75" style="width:49.8pt;height:43.8pt;visibility:visible;mso-wrap-style:square">
                  <v:imagedata r:id="rId7" o:title=""/>
                </v:shape>
              </w:pict>
            </w:r>
          </w:p>
          <w:p w14:paraId="11B34EB3" w14:textId="77777777" w:rsidR="009E7B95" w:rsidRDefault="009E7B95">
            <w:pPr>
              <w:spacing w:before="60"/>
              <w:rPr>
                <w:sz w:val="10"/>
              </w:rPr>
            </w:pPr>
          </w:p>
          <w:p w14:paraId="26DEE5DF" w14:textId="5735F963" w:rsidR="009E7B95" w:rsidRDefault="001F01DF">
            <w:pPr>
              <w:spacing w:before="60"/>
              <w:jc w:val="center"/>
            </w:pPr>
            <w:r>
              <w:pict w14:anchorId="71060702">
                <v:shape id="_x0000_i1028" type="#_x0000_t75" style="width:46.8pt;height:41.4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</w:tc>
      </w:tr>
      <w:tr w:rsidR="0061753E" w:rsidRPr="0061753E" w14:paraId="1B627B78" w14:textId="77777777" w:rsidTr="0061753E">
        <w:tc>
          <w:tcPr>
            <w:tcW w:w="10912" w:type="dxa"/>
            <w:gridSpan w:val="3"/>
            <w:tcBorders>
              <w:top w:val="single" w:sz="24" w:space="0" w:color="FF0000"/>
              <w:bottom w:val="single" w:sz="24" w:space="0" w:color="FF0000"/>
            </w:tcBorders>
          </w:tcPr>
          <w:p w14:paraId="453B9F7E" w14:textId="77777777" w:rsidR="009E7B95" w:rsidRPr="0061753E" w:rsidRDefault="003F6A24">
            <w:pPr>
              <w:pStyle w:val="berschrift3"/>
              <w:rPr>
                <w:color w:val="auto"/>
              </w:rPr>
            </w:pPr>
            <w:r w:rsidRPr="0061753E">
              <w:rPr>
                <w:color w:val="auto"/>
              </w:rPr>
              <w:t xml:space="preserve">3. </w:t>
            </w:r>
            <w:r w:rsidRPr="0061753E">
              <w:rPr>
                <w:caps/>
                <w:color w:val="auto"/>
              </w:rPr>
              <w:t>Schutzmassnahmen und Verhaltensregeln</w:t>
            </w:r>
          </w:p>
        </w:tc>
      </w:tr>
      <w:tr w:rsidR="009E7B95" w14:paraId="11DE7E9E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2C276424" w14:textId="77777777" w:rsidR="009E7B95" w:rsidRDefault="001F01DF">
            <w:pPr>
              <w:spacing w:before="60"/>
              <w:ind w:right="85"/>
            </w:pPr>
            <w:r>
              <w:pict w14:anchorId="09A48C3F">
                <v:shape id="_x0000_i1029" type="#_x0000_t75" style="width:51.6pt;height:51.6pt">
                  <v:imagedata r:id="rId9" o:title=""/>
                </v:shape>
              </w:pict>
            </w:r>
          </w:p>
          <w:p w14:paraId="7E397FBB" w14:textId="77777777" w:rsidR="009E7B95" w:rsidRDefault="009E7B95">
            <w:pPr>
              <w:spacing w:before="60"/>
              <w:ind w:right="85"/>
              <w:rPr>
                <w:sz w:val="6"/>
              </w:rPr>
            </w:pPr>
          </w:p>
          <w:p w14:paraId="7EE63426" w14:textId="77777777" w:rsidR="009E7B95" w:rsidRDefault="001F01DF">
            <w:r>
              <w:pict w14:anchorId="08A511E6">
                <v:shape id="_x0000_i1030" type="#_x0000_t75" style="width:51.6pt;height:51.6pt">
                  <v:imagedata r:id="rId10" o:title=""/>
                </v:shape>
              </w:pict>
            </w: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606B8286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Druckgasflaschen müssen gegen Umfallen und Herabfallen sichern und vor mechanischer Beschädigung schützen.</w:t>
            </w:r>
          </w:p>
          <w:p w14:paraId="177B3E1A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Arbeiten nur in gut durchlüfteten Räumen!</w:t>
            </w:r>
          </w:p>
          <w:p w14:paraId="6E0A22BD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Von Zündquellen fernhalten! </w:t>
            </w:r>
            <w:r>
              <w:rPr>
                <w:bCs/>
                <w:sz w:val="22"/>
              </w:rPr>
              <w:t>Z. B. beim Schweißen, Rauchen und bei der Entstehung von Funken mindestens 1m Abstand von der Acetylenflasche halten.</w:t>
            </w:r>
          </w:p>
          <w:p w14:paraId="15E3AED0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5AB628AB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Die Gasflasche vor Sonneneinstrahlung und Erwärmung schützen.</w:t>
            </w:r>
          </w:p>
          <w:p w14:paraId="1943106D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Nur einwandfreie Schlauchleitungen und Armaturen bestimmungsgemäß verwenden.</w:t>
            </w:r>
          </w:p>
          <w:p w14:paraId="3CD9D314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b/>
                <w:sz w:val="22"/>
              </w:rPr>
              <w:t>Augenschutz</w:t>
            </w:r>
            <w:r>
              <w:rPr>
                <w:sz w:val="22"/>
              </w:rPr>
              <w:t xml:space="preserve">: Schweißschutzbrille! </w:t>
            </w:r>
            <w:r>
              <w:rPr>
                <w:color w:val="FF0000"/>
                <w:sz w:val="22"/>
              </w:rPr>
              <w:t>(hier genaue Angaben)</w:t>
            </w:r>
          </w:p>
          <w:p w14:paraId="0B8389EC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b/>
                <w:sz w:val="22"/>
              </w:rPr>
              <w:t xml:space="preserve">Atemschutz: </w:t>
            </w:r>
            <w:r>
              <w:rPr>
                <w:bCs/>
                <w:sz w:val="22"/>
              </w:rPr>
              <w:t>bei zu geringer Sauerstoffkonzentration oder unklaren Verhältnissen.</w:t>
            </w:r>
          </w:p>
          <w:p w14:paraId="504EEC8A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b/>
                <w:sz w:val="22"/>
              </w:rPr>
              <w:t>Körperschutz:</w:t>
            </w:r>
            <w:r>
              <w:rPr>
                <w:sz w:val="22"/>
              </w:rPr>
              <w:t xml:space="preserve"> Antistatische Schutzkleidung, </w:t>
            </w:r>
            <w:proofErr w:type="spellStart"/>
            <w:r>
              <w:rPr>
                <w:sz w:val="22"/>
              </w:rPr>
              <w:t>z.B</w:t>
            </w:r>
            <w:proofErr w:type="spellEnd"/>
            <w:r>
              <w:rPr>
                <w:sz w:val="22"/>
              </w:rPr>
              <w:t xml:space="preserve"> aus Baumwolle.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7ED540BF" w14:textId="0573DAF8" w:rsidR="009E7B95" w:rsidRDefault="001F01DF">
            <w:pPr>
              <w:spacing w:before="60"/>
              <w:ind w:right="85"/>
              <w:rPr>
                <w:snapToGrid w:val="0"/>
                <w:sz w:val="22"/>
                <w:szCs w:val="22"/>
              </w:rPr>
            </w:pPr>
            <w:r w:rsidRPr="00EC31E5">
              <w:rPr>
                <w:noProof/>
              </w:rPr>
              <w:pict w14:anchorId="40740104">
                <v:shape id="Grafik 2" o:spid="_x0000_i1037" type="#_x0000_t75" style="width:43.2pt;height:43.2pt;visibility:visible;mso-wrap-style:square">
                  <v:imagedata r:id="rId11" o:title=""/>
                </v:shape>
              </w:pict>
            </w:r>
          </w:p>
          <w:p w14:paraId="5621DEB0" w14:textId="49D6B60B" w:rsidR="009E7B95" w:rsidRDefault="001F01DF">
            <w:pPr>
              <w:spacing w:before="60"/>
              <w:ind w:right="85"/>
              <w:rPr>
                <w:snapToGrid w:val="0"/>
                <w:sz w:val="22"/>
                <w:szCs w:val="22"/>
              </w:rPr>
            </w:pPr>
            <w:r w:rsidRPr="00EC31E5">
              <w:rPr>
                <w:noProof/>
              </w:rPr>
              <w:pict w14:anchorId="11D7C49F">
                <v:shape id="Grafik 37" o:spid="_x0000_i1045" type="#_x0000_t75" style="width:42.6pt;height:42.6pt;visibility:visible;mso-wrap-style:square">
                  <v:imagedata r:id="rId12" o:title=""/>
                </v:shape>
              </w:pict>
            </w:r>
          </w:p>
          <w:p w14:paraId="6C68F727" w14:textId="658CE12D" w:rsidR="009E7B95" w:rsidRDefault="001F01DF">
            <w:pPr>
              <w:spacing w:before="60"/>
              <w:ind w:right="85"/>
              <w:rPr>
                <w:sz w:val="12"/>
              </w:rPr>
            </w:pPr>
            <w:r w:rsidRPr="00EC31E5">
              <w:rPr>
                <w:noProof/>
              </w:rPr>
              <w:pict w14:anchorId="463AAF76">
                <v:shape id="Grafik 32" o:spid="_x0000_i1041" type="#_x0000_t75" style="width:41.4pt;height:41.4pt;visibility:visible;mso-wrap-style:square">
                  <v:imagedata r:id="rId13" o:title=""/>
                </v:shape>
              </w:pict>
            </w:r>
          </w:p>
        </w:tc>
      </w:tr>
      <w:tr w:rsidR="0061753E" w:rsidRPr="0061753E" w14:paraId="2D19917E" w14:textId="77777777" w:rsidTr="0061753E">
        <w:tc>
          <w:tcPr>
            <w:tcW w:w="10912" w:type="dxa"/>
            <w:gridSpan w:val="3"/>
            <w:tcBorders>
              <w:top w:val="single" w:sz="24" w:space="0" w:color="FF0000"/>
              <w:bottom w:val="single" w:sz="24" w:space="0" w:color="FF0000"/>
            </w:tcBorders>
          </w:tcPr>
          <w:p w14:paraId="1FAC3929" w14:textId="77777777" w:rsidR="009E7B95" w:rsidRPr="0061753E" w:rsidRDefault="003F6A24">
            <w:pPr>
              <w:pStyle w:val="berschrift3"/>
              <w:rPr>
                <w:color w:val="auto"/>
              </w:rPr>
            </w:pPr>
            <w:r w:rsidRPr="0061753E">
              <w:rPr>
                <w:color w:val="auto"/>
              </w:rPr>
              <w:t xml:space="preserve">4. </w:t>
            </w:r>
            <w:r w:rsidRPr="0061753E">
              <w:rPr>
                <w:caps/>
                <w:color w:val="auto"/>
              </w:rPr>
              <w:t>Verhalten im Gefahrfall</w:t>
            </w:r>
          </w:p>
        </w:tc>
      </w:tr>
      <w:tr w:rsidR="009E7B95" w14:paraId="3D613420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48EF6012" w14:textId="1889D4F4" w:rsidR="009E7B95" w:rsidRDefault="001F01DF">
            <w:pPr>
              <w:spacing w:before="60" w:after="60"/>
            </w:pPr>
            <w:r w:rsidRPr="00EC31E5">
              <w:rPr>
                <w:noProof/>
              </w:rPr>
              <w:pict w14:anchorId="6FE8649A">
                <v:shape id="Grafik 6" o:spid="_x0000_i1049" type="#_x0000_t75" style="width:52.2pt;height:52.2pt;visibility:visible;mso-wrap-style:square">
                  <v:imagedata r:id="rId14" o:title=""/>
                </v:shape>
              </w:pict>
            </w: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22456F74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 xml:space="preserve">Bei </w:t>
            </w:r>
            <w:proofErr w:type="gramStart"/>
            <w:r>
              <w:rPr>
                <w:sz w:val="22"/>
              </w:rPr>
              <w:t>Gasaustritt</w:t>
            </w:r>
            <w:proofErr w:type="gramEnd"/>
            <w:r>
              <w:rPr>
                <w:sz w:val="22"/>
              </w:rPr>
              <w:t xml:space="preserve"> wenn möglich Ventil schließen und Raum sofort verlassen. </w:t>
            </w:r>
          </w:p>
          <w:p w14:paraId="5CD1719B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Zündquellen im Gefahrenbereich unbedingt vermeiden. Kein Funkgerät oder Handy benutzen.</w:t>
            </w:r>
          </w:p>
          <w:p w14:paraId="6A00378D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 xml:space="preserve">Geeignete Löschmittel verwenden: </w:t>
            </w:r>
            <w:r>
              <w:rPr>
                <w:color w:val="FF0000"/>
                <w:sz w:val="22"/>
              </w:rPr>
              <w:t>(hier vorhandenes Löschmittel angeben)</w:t>
            </w:r>
            <w:r>
              <w:rPr>
                <w:sz w:val="22"/>
              </w:rPr>
              <w:t>.</w:t>
            </w:r>
          </w:p>
          <w:p w14:paraId="255FF9CF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z w:val="22"/>
              </w:rPr>
              <w:t>Bei Brand in der Umgebung Behälter mit Sprühwasser kühlen!</w:t>
            </w:r>
          </w:p>
          <w:p w14:paraId="6DFF4F04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napToGrid w:val="0"/>
                <w:sz w:val="22"/>
                <w:szCs w:val="21"/>
              </w:rPr>
              <w:t>Alarm-, Flucht- und Rettungspläne beachten!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76873DF7" w14:textId="77777777" w:rsidR="009E7B95" w:rsidRDefault="009E7B95">
            <w:pPr>
              <w:spacing w:line="360" w:lineRule="atLeast"/>
            </w:pPr>
          </w:p>
        </w:tc>
      </w:tr>
      <w:tr w:rsidR="0061753E" w:rsidRPr="0061753E" w14:paraId="5108DCE6" w14:textId="77777777" w:rsidTr="0061753E">
        <w:tc>
          <w:tcPr>
            <w:tcW w:w="10912" w:type="dxa"/>
            <w:gridSpan w:val="3"/>
            <w:tcBorders>
              <w:top w:val="single" w:sz="24" w:space="0" w:color="FF0000"/>
              <w:bottom w:val="single" w:sz="24" w:space="0" w:color="FF0000"/>
            </w:tcBorders>
          </w:tcPr>
          <w:p w14:paraId="55199228" w14:textId="77777777" w:rsidR="009E7B95" w:rsidRPr="0061753E" w:rsidRDefault="003F6A24">
            <w:pPr>
              <w:pStyle w:val="berschrift3"/>
              <w:rPr>
                <w:color w:val="auto"/>
              </w:rPr>
            </w:pPr>
            <w:r w:rsidRPr="0061753E">
              <w:rPr>
                <w:color w:val="auto"/>
              </w:rPr>
              <w:t xml:space="preserve">5. </w:t>
            </w:r>
            <w:r w:rsidRPr="0061753E">
              <w:rPr>
                <w:caps/>
                <w:color w:val="auto"/>
              </w:rPr>
              <w:t>Erste Hilfe</w:t>
            </w:r>
          </w:p>
        </w:tc>
      </w:tr>
      <w:tr w:rsidR="009E7B95" w14:paraId="2BC36356" w14:textId="77777777" w:rsidTr="0061753E">
        <w:tc>
          <w:tcPr>
            <w:tcW w:w="1186" w:type="dxa"/>
            <w:tcBorders>
              <w:top w:val="single" w:sz="24" w:space="0" w:color="FF0000"/>
              <w:bottom w:val="single" w:sz="24" w:space="0" w:color="FF0000"/>
            </w:tcBorders>
          </w:tcPr>
          <w:p w14:paraId="5C0F519F" w14:textId="77777777" w:rsidR="009E7B95" w:rsidRDefault="001F01DF">
            <w:pPr>
              <w:spacing w:before="120" w:after="60" w:line="360" w:lineRule="atLeast"/>
            </w:pPr>
            <w:r>
              <w:pict w14:anchorId="1410BF36">
                <v:shape id="_x0000_i1035" type="#_x0000_t75" style="width:47.4pt;height:47.4pt">
                  <v:imagedata r:id="rId15" o:title=""/>
                </v:shape>
              </w:pict>
            </w:r>
          </w:p>
        </w:tc>
        <w:tc>
          <w:tcPr>
            <w:tcW w:w="8608" w:type="dxa"/>
            <w:tcBorders>
              <w:top w:val="single" w:sz="24" w:space="0" w:color="FF0000"/>
              <w:bottom w:val="single" w:sz="24" w:space="0" w:color="FF0000"/>
            </w:tcBorders>
          </w:tcPr>
          <w:p w14:paraId="52BB3A72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1"/>
              </w:rPr>
              <w:t>Bei jeder Erste-Hilfe-Maßnahme: Selbstschutz beachten und Rücksprache mit einem Arzt führen.</w:t>
            </w:r>
          </w:p>
          <w:p w14:paraId="73BE00A7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Nach Einatmen: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1"/>
              </w:rPr>
              <w:t>Frischluft! Bei Bewusstlosigkeit Atemwege freihalten. Ggf. Schockbekämpfung und Herz-Lungen-Wiederbelebung.</w:t>
            </w:r>
          </w:p>
          <w:p w14:paraId="5B2BED52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heranziehen.</w:t>
            </w:r>
          </w:p>
          <w:p w14:paraId="3F3C36EF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041447FE" w14:textId="77777777" w:rsidR="009E7B95" w:rsidRDefault="003F6A2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118" w:type="dxa"/>
            <w:tcBorders>
              <w:top w:val="single" w:sz="24" w:space="0" w:color="FF0000"/>
              <w:bottom w:val="single" w:sz="24" w:space="0" w:color="FF0000"/>
            </w:tcBorders>
          </w:tcPr>
          <w:p w14:paraId="191A9499" w14:textId="77777777" w:rsidR="009E7B95" w:rsidRDefault="009E7B95">
            <w:pPr>
              <w:spacing w:line="360" w:lineRule="atLeast"/>
            </w:pPr>
          </w:p>
        </w:tc>
      </w:tr>
      <w:tr w:rsidR="0061753E" w:rsidRPr="0061753E" w14:paraId="3CB8752B" w14:textId="77777777" w:rsidTr="0061753E">
        <w:tc>
          <w:tcPr>
            <w:tcW w:w="10912" w:type="dxa"/>
            <w:gridSpan w:val="3"/>
            <w:tcBorders>
              <w:top w:val="single" w:sz="24" w:space="0" w:color="FF0000"/>
              <w:bottom w:val="single" w:sz="24" w:space="0" w:color="FF0000"/>
            </w:tcBorders>
          </w:tcPr>
          <w:p w14:paraId="01C6A51A" w14:textId="77777777" w:rsidR="009E7B95" w:rsidRPr="0061753E" w:rsidRDefault="003F6A24">
            <w:pPr>
              <w:pStyle w:val="berschrift3"/>
              <w:rPr>
                <w:color w:val="auto"/>
              </w:rPr>
            </w:pPr>
            <w:r w:rsidRPr="0061753E">
              <w:rPr>
                <w:color w:val="auto"/>
              </w:rPr>
              <w:t xml:space="preserve">6. </w:t>
            </w:r>
            <w:r w:rsidRPr="0061753E">
              <w:rPr>
                <w:caps/>
                <w:color w:val="auto"/>
              </w:rPr>
              <w:t>Sachgerechte Entsorgung</w:t>
            </w:r>
          </w:p>
        </w:tc>
      </w:tr>
      <w:tr w:rsidR="009E7B95" w14:paraId="61C87D65" w14:textId="77777777" w:rsidTr="0061753E">
        <w:tc>
          <w:tcPr>
            <w:tcW w:w="1186" w:type="dxa"/>
            <w:tcBorders>
              <w:top w:val="single" w:sz="24" w:space="0" w:color="FF0000"/>
            </w:tcBorders>
          </w:tcPr>
          <w:p w14:paraId="0B73B83C" w14:textId="77777777" w:rsidR="009E7B95" w:rsidRDefault="009E7B95">
            <w:pPr>
              <w:spacing w:line="360" w:lineRule="atLeast"/>
            </w:pPr>
          </w:p>
        </w:tc>
        <w:tc>
          <w:tcPr>
            <w:tcW w:w="8608" w:type="dxa"/>
            <w:tcBorders>
              <w:top w:val="single" w:sz="24" w:space="0" w:color="FF0000"/>
            </w:tcBorders>
          </w:tcPr>
          <w:p w14:paraId="716F9675" w14:textId="77777777" w:rsidR="009E7B95" w:rsidRDefault="003F6A2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Leere und defekte Druckgasflaschen kennzeichnen.</w:t>
            </w:r>
          </w:p>
          <w:p w14:paraId="60EBFD57" w14:textId="77777777" w:rsidR="009E7B95" w:rsidRDefault="003F6A2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Druckgasflaschen mit Restdruck an den Lieferanten zurückgeben.</w:t>
            </w:r>
          </w:p>
        </w:tc>
        <w:tc>
          <w:tcPr>
            <w:tcW w:w="1118" w:type="dxa"/>
            <w:tcBorders>
              <w:top w:val="single" w:sz="24" w:space="0" w:color="FF0000"/>
            </w:tcBorders>
          </w:tcPr>
          <w:p w14:paraId="5862CFBD" w14:textId="77777777" w:rsidR="009E7B95" w:rsidRDefault="009E7B95">
            <w:pPr>
              <w:spacing w:line="360" w:lineRule="atLeast"/>
            </w:pPr>
          </w:p>
        </w:tc>
      </w:tr>
    </w:tbl>
    <w:p w14:paraId="637F6F92" w14:textId="77777777" w:rsidR="009E7B95" w:rsidRDefault="003F6A24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9E7B95" w14:paraId="4A60A62D" w14:textId="77777777">
        <w:tc>
          <w:tcPr>
            <w:tcW w:w="5211" w:type="dxa"/>
          </w:tcPr>
          <w:p w14:paraId="2AE812C0" w14:textId="77777777" w:rsidR="009E7B95" w:rsidRDefault="003F6A24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24241A02" w14:textId="77777777" w:rsidR="009E7B95" w:rsidRDefault="003F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1806726E" w14:textId="77777777" w:rsidR="009E7B95" w:rsidRDefault="003F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78D3D95F" w14:textId="77777777" w:rsidR="003F6A24" w:rsidRDefault="003F6A24" w:rsidP="0061753E">
      <w:pPr>
        <w:rPr>
          <w:sz w:val="22"/>
          <w:szCs w:val="22"/>
        </w:rPr>
      </w:pPr>
    </w:p>
    <w:sectPr w:rsidR="003F6A24" w:rsidSect="0061753E">
      <w:pgSz w:w="11906" w:h="16838" w:code="9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525B"/>
    <w:multiLevelType w:val="hybridMultilevel"/>
    <w:tmpl w:val="755CA6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53E1"/>
    <w:multiLevelType w:val="hybridMultilevel"/>
    <w:tmpl w:val="635635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522076">
    <w:abstractNumId w:val="0"/>
  </w:num>
  <w:num w:numId="2" w16cid:durableId="499275533">
    <w:abstractNumId w:val="1"/>
  </w:num>
  <w:num w:numId="3" w16cid:durableId="152177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65A"/>
    <w:rsid w:val="001F01DF"/>
    <w:rsid w:val="0025365A"/>
    <w:rsid w:val="003D3254"/>
    <w:rsid w:val="003F4ECA"/>
    <w:rsid w:val="003F6A24"/>
    <w:rsid w:val="005D7A7B"/>
    <w:rsid w:val="0061753E"/>
    <w:rsid w:val="007F58C5"/>
    <w:rsid w:val="009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031C1D63"/>
  <w15:chartTrackingRefBased/>
  <w15:docId w15:val="{B003A471-2595-4621-81EE-97A06703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2187</Characters>
  <Application>Microsoft Office Word</Application>
  <DocSecurity>0</DocSecurity>
  <Lines>84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G1-17</vt:lpstr>
    </vt:vector>
  </TitlesOfParts>
  <Company>Steinbruchs-BG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G1-17</dc:title>
  <dc:subject/>
  <dc:creator>StBG</dc:creator>
  <cp:keywords/>
  <dc:description/>
  <cp:lastModifiedBy>Berger, Günther</cp:lastModifiedBy>
  <cp:revision>6</cp:revision>
  <cp:lastPrinted>2023-09-25T08:50:00Z</cp:lastPrinted>
  <dcterms:created xsi:type="dcterms:W3CDTF">2023-09-25T08:50:00Z</dcterms:created>
  <dcterms:modified xsi:type="dcterms:W3CDTF">2024-02-28T11:28:00Z</dcterms:modified>
</cp:coreProperties>
</file>