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7B09" w14:textId="77777777" w:rsidR="00514FF3" w:rsidRDefault="00514FF3">
      <w:pPr>
        <w:tabs>
          <w:tab w:val="left" w:pos="7088"/>
        </w:tabs>
        <w:spacing w:line="360" w:lineRule="atLeast"/>
      </w:pPr>
      <w:r>
        <w:rPr>
          <w:noProof/>
        </w:rPr>
        <w:pict w14:anchorId="68E03769">
          <v:rect id="_x0000_s1027" style="position:absolute;margin-left:-5.75pt;margin-top:-1.2pt;width:548.4pt;height:774.1pt;z-index:3" o:allowincell="f" filled="f" strokecolor="blue" strokeweight="7pt"/>
        </w:pict>
      </w:r>
      <w:r>
        <w:rPr>
          <w:noProof/>
          <w:sz w:val="20"/>
        </w:rPr>
        <w:pict w14:anchorId="7CBAB2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21B448C4" w14:textId="77777777" w:rsidR="00514FF3" w:rsidRDefault="00514FF3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C584C5D" w14:textId="77777777" w:rsidR="00514FF3" w:rsidRDefault="00514F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Hubarbeitsbühnen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1638B27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1128B3B1" w14:textId="77777777" w:rsidR="00514FF3" w:rsidRDefault="00514FF3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152DAE90" w14:textId="77777777" w:rsidR="00514FF3" w:rsidRDefault="00514FF3">
      <w:r>
        <w:t xml:space="preserve">Bearbeitungsstand: </w:t>
      </w:r>
      <w:r w:rsidR="0038686E">
        <w:t>10/23</w:t>
      </w:r>
    </w:p>
    <w:p w14:paraId="148E76D3" w14:textId="77777777" w:rsidR="00514FF3" w:rsidRDefault="00514FF3"/>
    <w:p w14:paraId="38712C15" w14:textId="77777777" w:rsidR="00514FF3" w:rsidRDefault="00514FF3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Hubarbeitsbühnen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470"/>
        <w:gridCol w:w="1099"/>
      </w:tblGrid>
      <w:tr w:rsidR="00514FF3" w14:paraId="05CC72B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68B4FAA4" w14:textId="77777777" w:rsidR="00514FF3" w:rsidRDefault="00514FF3">
            <w:pPr>
              <w:spacing w:line="360" w:lineRule="atLeast"/>
            </w:pPr>
          </w:p>
        </w:tc>
        <w:tc>
          <w:tcPr>
            <w:tcW w:w="8470" w:type="dxa"/>
            <w:tcBorders>
              <w:left w:val="nil"/>
              <w:right w:val="nil"/>
            </w:tcBorders>
            <w:shd w:val="clear" w:color="auto" w:fill="0000FF"/>
          </w:tcPr>
          <w:p w14:paraId="02005DB1" w14:textId="77777777" w:rsidR="00514FF3" w:rsidRDefault="00514FF3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0000FF"/>
          </w:tcPr>
          <w:p w14:paraId="6317094B" w14:textId="77777777" w:rsidR="00514FF3" w:rsidRDefault="00514FF3">
            <w:pPr>
              <w:spacing w:line="360" w:lineRule="atLeast"/>
            </w:pPr>
          </w:p>
        </w:tc>
      </w:tr>
      <w:tr w:rsidR="00514FF3" w14:paraId="793A965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F59B99D" w14:textId="77777777" w:rsidR="00514FF3" w:rsidRDefault="00514F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00327B6E" w14:textId="77777777" w:rsidR="00514FF3" w:rsidRDefault="00514FF3">
            <w:pPr>
              <w:pStyle w:val="berschrift6"/>
            </w:pPr>
            <w:r>
              <w:t>Arbeiten mit Hubarbeitsbühnen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BB5D1B3" w14:textId="77777777" w:rsidR="00514FF3" w:rsidRDefault="00514FF3">
            <w:pPr>
              <w:jc w:val="center"/>
              <w:rPr>
                <w:sz w:val="22"/>
                <w:szCs w:val="22"/>
              </w:rPr>
            </w:pPr>
          </w:p>
        </w:tc>
      </w:tr>
      <w:tr w:rsidR="00514FF3" w14:paraId="57CF456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57A69FC9" w14:textId="77777777" w:rsidR="00514FF3" w:rsidRDefault="00514FF3">
            <w:pPr>
              <w:spacing w:line="360" w:lineRule="atLeast"/>
            </w:pPr>
          </w:p>
        </w:tc>
        <w:tc>
          <w:tcPr>
            <w:tcW w:w="8470" w:type="dxa"/>
            <w:tcBorders>
              <w:left w:val="nil"/>
              <w:right w:val="nil"/>
            </w:tcBorders>
            <w:shd w:val="clear" w:color="auto" w:fill="0000FF"/>
          </w:tcPr>
          <w:p w14:paraId="2E4CB890" w14:textId="77777777" w:rsidR="00514FF3" w:rsidRDefault="00514FF3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0000FF"/>
          </w:tcPr>
          <w:p w14:paraId="50513E49" w14:textId="77777777" w:rsidR="00514FF3" w:rsidRDefault="00514FF3">
            <w:pPr>
              <w:spacing w:line="360" w:lineRule="atLeast"/>
            </w:pPr>
          </w:p>
        </w:tc>
      </w:tr>
      <w:tr w:rsidR="00514FF3" w14:paraId="4949D1A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5A6FDFA" w14:textId="77777777" w:rsidR="00514FF3" w:rsidRDefault="00514FF3">
            <w:pPr>
              <w:spacing w:before="60" w:after="60"/>
              <w:jc w:val="center"/>
              <w:rPr>
                <w:sz w:val="2"/>
              </w:rPr>
            </w:pPr>
          </w:p>
          <w:p w14:paraId="326A2D13" w14:textId="77777777" w:rsidR="00514FF3" w:rsidRDefault="00BF3DE1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1FA67B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width:59.6pt;height:52.0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2E4FEFCB" w14:textId="77777777" w:rsidR="00514FF3" w:rsidRDefault="00514FF3">
            <w:pPr>
              <w:spacing w:before="60" w:after="60"/>
              <w:jc w:val="center"/>
              <w:rPr>
                <w:sz w:val="8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4BAF19EF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Gefahren durch Abstürzen</w:t>
            </w:r>
          </w:p>
          <w:p w14:paraId="1782C1D7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Umstürzen der Hubarbeitsbühne</w:t>
            </w:r>
          </w:p>
          <w:p w14:paraId="0E530AAF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Herabfallen der Last oder von Teilen</w:t>
            </w:r>
          </w:p>
          <w:p w14:paraId="22CD8A2F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Quetsch- und Scherstellen beim Bewegen der Hubarbeitsbühne</w:t>
            </w:r>
          </w:p>
          <w:p w14:paraId="423ADFCD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Cs w:val="21"/>
              </w:rPr>
              <w:t>Stromübertritt in der Nähe von Freileitungen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7A89430" w14:textId="77777777" w:rsidR="00514FF3" w:rsidRDefault="00514FF3">
            <w:pPr>
              <w:spacing w:before="60" w:line="360" w:lineRule="atLeast"/>
            </w:pPr>
          </w:p>
        </w:tc>
      </w:tr>
      <w:tr w:rsidR="00514FF3" w14:paraId="3095F3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FFDA454" w14:textId="77777777" w:rsidR="00514FF3" w:rsidRDefault="00514FF3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514FF3" w14:paraId="796A5FA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39CC67B" w14:textId="77777777" w:rsidR="00514FF3" w:rsidRDefault="00514FF3">
            <w:pPr>
              <w:rPr>
                <w:sz w:val="12"/>
              </w:rPr>
            </w:pPr>
          </w:p>
          <w:p w14:paraId="30770479" w14:textId="77777777" w:rsidR="00514FF3" w:rsidRDefault="00514FF3">
            <w:pPr>
              <w:rPr>
                <w:sz w:val="12"/>
              </w:rPr>
            </w:pPr>
          </w:p>
          <w:p w14:paraId="60F35ABD" w14:textId="77777777" w:rsidR="00514FF3" w:rsidRDefault="00514FF3">
            <w:pPr>
              <w:rPr>
                <w:sz w:val="12"/>
              </w:rPr>
            </w:pPr>
          </w:p>
          <w:p w14:paraId="72ECFB1E" w14:textId="77777777" w:rsidR="00514FF3" w:rsidRDefault="00514FF3">
            <w:pPr>
              <w:spacing w:after="60"/>
              <w:jc w:val="center"/>
              <w:rPr>
                <w:sz w:val="12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086AB4C6" w14:textId="77777777" w:rsidR="00514FF3" w:rsidRDefault="0038686E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D</w:t>
            </w:r>
            <w:r w:rsidR="00514FF3">
              <w:rPr>
                <w:snapToGrid w:val="0"/>
                <w:szCs w:val="21"/>
              </w:rPr>
              <w:t>ie Betriebsanleitung des Herstellers beachten.</w:t>
            </w:r>
          </w:p>
          <w:p w14:paraId="00A5C19D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rFonts w:cs="Arial"/>
                <w:szCs w:val="22"/>
              </w:rPr>
              <w:t xml:space="preserve">Hubarbeitsbühnen dürfen nur von ausgebildeten und </w:t>
            </w:r>
            <w:r>
              <w:rPr>
                <w:rFonts w:cs="Arial"/>
                <w:szCs w:val="22"/>
                <w:u w:val="single"/>
              </w:rPr>
              <w:t>schriftlich beauftra</w:t>
            </w:r>
            <w:r>
              <w:rPr>
                <w:rFonts w:cs="Arial"/>
                <w:szCs w:val="22"/>
                <w:u w:val="single"/>
              </w:rPr>
              <w:t>g</w:t>
            </w:r>
            <w:r>
              <w:rPr>
                <w:rFonts w:cs="Arial"/>
                <w:szCs w:val="22"/>
                <w:u w:val="single"/>
              </w:rPr>
              <w:t>ten</w:t>
            </w:r>
            <w:r>
              <w:rPr>
                <w:rFonts w:cs="Arial"/>
                <w:szCs w:val="22"/>
              </w:rPr>
              <w:t xml:space="preserve"> Personen b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nutzt werden (siehe </w:t>
            </w:r>
            <w:r w:rsidR="0038686E">
              <w:rPr>
                <w:rFonts w:cs="Arial"/>
                <w:szCs w:val="22"/>
              </w:rPr>
              <w:t>DGUV Grundsatz 308-008 und DGUV Information 208-019)</w:t>
            </w:r>
            <w:r>
              <w:rPr>
                <w:rFonts w:cs="Arial"/>
                <w:szCs w:val="22"/>
              </w:rPr>
              <w:t xml:space="preserve">. </w:t>
            </w:r>
          </w:p>
          <w:p w14:paraId="7201418E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Bei Arbeiten mehrerer Personen ist ein Aufsichtsführender zu bestimmen.</w:t>
            </w:r>
          </w:p>
          <w:p w14:paraId="353CD428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 xml:space="preserve">Die </w:t>
            </w:r>
            <w:r>
              <w:rPr>
                <w:rFonts w:cs="Arial"/>
                <w:szCs w:val="22"/>
              </w:rPr>
              <w:t>Hubarbeitsbühnen</w:t>
            </w:r>
            <w:r>
              <w:rPr>
                <w:snapToGrid w:val="0"/>
                <w:szCs w:val="21"/>
              </w:rPr>
              <w:t xml:space="preserve"> bestimmungsgemäß ve</w:t>
            </w:r>
            <w:r>
              <w:rPr>
                <w:snapToGrid w:val="0"/>
                <w:szCs w:val="21"/>
              </w:rPr>
              <w:t>r</w:t>
            </w:r>
            <w:r>
              <w:rPr>
                <w:snapToGrid w:val="0"/>
                <w:szCs w:val="21"/>
              </w:rPr>
              <w:t>wenden.</w:t>
            </w:r>
          </w:p>
          <w:p w14:paraId="79A3D360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 xml:space="preserve">Die </w:t>
            </w:r>
            <w:r>
              <w:rPr>
                <w:rFonts w:cs="Arial"/>
                <w:szCs w:val="22"/>
              </w:rPr>
              <w:t>Hubarbeitsbühnen</w:t>
            </w:r>
            <w:r>
              <w:rPr>
                <w:snapToGrid w:val="0"/>
                <w:szCs w:val="21"/>
              </w:rPr>
              <w:t xml:space="preserve"> standsicher aufstellen, keine Quetsch- und Sche</w:t>
            </w:r>
            <w:r>
              <w:rPr>
                <w:snapToGrid w:val="0"/>
                <w:szCs w:val="21"/>
              </w:rPr>
              <w:t>r</w:t>
            </w:r>
            <w:r>
              <w:rPr>
                <w:snapToGrid w:val="0"/>
                <w:szCs w:val="21"/>
              </w:rPr>
              <w:t>stellen zur Umgebung. Tragfähigkeit des Untergrundes und Windverhäl</w:t>
            </w:r>
            <w:r>
              <w:rPr>
                <w:snapToGrid w:val="0"/>
                <w:szCs w:val="21"/>
              </w:rPr>
              <w:t>t</w:t>
            </w:r>
            <w:r>
              <w:rPr>
                <w:snapToGrid w:val="0"/>
                <w:szCs w:val="21"/>
              </w:rPr>
              <w:t>nisse beachten.</w:t>
            </w:r>
          </w:p>
          <w:p w14:paraId="1CF109B5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Sicherungen gegen Verkehrsgefahren treffen (z.B. Absperrungen, Sich</w:t>
            </w:r>
            <w:r>
              <w:rPr>
                <w:snapToGrid w:val="0"/>
                <w:szCs w:val="21"/>
              </w:rPr>
              <w:t>e</w:t>
            </w:r>
            <w:r>
              <w:rPr>
                <w:snapToGrid w:val="0"/>
                <w:szCs w:val="21"/>
              </w:rPr>
              <w:t>rungspo</w:t>
            </w:r>
            <w:r>
              <w:rPr>
                <w:snapToGrid w:val="0"/>
                <w:szCs w:val="21"/>
              </w:rPr>
              <w:t>s</w:t>
            </w:r>
            <w:r>
              <w:rPr>
                <w:snapToGrid w:val="0"/>
                <w:szCs w:val="21"/>
              </w:rPr>
              <w:t>ten).</w:t>
            </w:r>
          </w:p>
          <w:p w14:paraId="660E13BB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Personen gegen Herausschleudern (Peitscheneffekt) sichern. Nicht über die Arbeit</w:t>
            </w:r>
            <w:r>
              <w:rPr>
                <w:snapToGrid w:val="0"/>
                <w:szCs w:val="21"/>
              </w:rPr>
              <w:t>s</w:t>
            </w:r>
            <w:r>
              <w:rPr>
                <w:snapToGrid w:val="0"/>
                <w:szCs w:val="21"/>
              </w:rPr>
              <w:t>bühne hinausbeugen.</w:t>
            </w:r>
          </w:p>
          <w:p w14:paraId="4517E8DD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Absicherungen treffen, damit weder Personen noch Lasten abstürzen oder herabfa</w:t>
            </w:r>
            <w:r>
              <w:rPr>
                <w:snapToGrid w:val="0"/>
                <w:szCs w:val="21"/>
              </w:rPr>
              <w:t>l</w:t>
            </w:r>
            <w:r>
              <w:rPr>
                <w:snapToGrid w:val="0"/>
                <w:szCs w:val="21"/>
              </w:rPr>
              <w:t>len können oder Lasten nicht verrutschen können.</w:t>
            </w:r>
          </w:p>
          <w:p w14:paraId="414D50C2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Täglich vor jeder Inbetriebnahme Funktionsprobe durchführen.</w:t>
            </w:r>
          </w:p>
          <w:p w14:paraId="4E200096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Hebebühne nicht über die zulässige Belastung belasten.</w:t>
            </w:r>
          </w:p>
          <w:p w14:paraId="3CC359BA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 xml:space="preserve">Bei allen Bewegungen der </w:t>
            </w:r>
            <w:r>
              <w:rPr>
                <w:rFonts w:cs="Arial"/>
                <w:szCs w:val="22"/>
              </w:rPr>
              <w:t>Hubarbeitsbühnen</w:t>
            </w:r>
            <w:r>
              <w:rPr>
                <w:snapToGrid w:val="0"/>
                <w:szCs w:val="21"/>
              </w:rPr>
              <w:t xml:space="preserve"> keine anderen Personen g</w:t>
            </w:r>
            <w:r>
              <w:rPr>
                <w:snapToGrid w:val="0"/>
                <w:szCs w:val="21"/>
              </w:rPr>
              <w:t>e</w:t>
            </w:r>
            <w:r>
              <w:rPr>
                <w:snapToGrid w:val="0"/>
                <w:szCs w:val="21"/>
              </w:rPr>
              <w:t xml:space="preserve">fährden. Sich nicht im Gefahrenbereich der </w:t>
            </w:r>
            <w:r>
              <w:rPr>
                <w:rFonts w:cs="Arial"/>
                <w:szCs w:val="22"/>
              </w:rPr>
              <w:t>Hubarbeitsbühnen</w:t>
            </w:r>
            <w:r>
              <w:rPr>
                <w:snapToGrid w:val="0"/>
                <w:szCs w:val="21"/>
              </w:rPr>
              <w:t xml:space="preserve"> aufha</w:t>
            </w:r>
            <w:r>
              <w:rPr>
                <w:snapToGrid w:val="0"/>
                <w:szCs w:val="21"/>
              </w:rPr>
              <w:t>l</w:t>
            </w:r>
            <w:r>
              <w:rPr>
                <w:snapToGrid w:val="0"/>
                <w:szCs w:val="21"/>
              </w:rPr>
              <w:t>ten.</w:t>
            </w:r>
          </w:p>
          <w:p w14:paraId="2D56093E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</w:rPr>
              <w:t>Lastaufnahmemittel nicht betreten, nicht in Schwingungen versetzen, nicht darauf mitfahren, nicht darunter aufhalten, keine Gegenstände davon a</w:t>
            </w:r>
            <w:r>
              <w:rPr>
                <w:snapToGrid w:val="0"/>
              </w:rPr>
              <w:t>b</w:t>
            </w:r>
            <w:r>
              <w:rPr>
                <w:snapToGrid w:val="0"/>
              </w:rPr>
              <w:t>werfen, keine G</w:t>
            </w:r>
            <w:r>
              <w:rPr>
                <w:snapToGrid w:val="0"/>
              </w:rPr>
              <w:t>e</w:t>
            </w:r>
            <w:r>
              <w:rPr>
                <w:snapToGrid w:val="0"/>
              </w:rPr>
              <w:t>genstände hinaufwerfen.</w:t>
            </w:r>
          </w:p>
          <w:p w14:paraId="58AD4CBD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t>Ausreichenden Abstand zu Freileitungen halten (bei unbekannter Spa</w:t>
            </w:r>
            <w:r>
              <w:t>n</w:t>
            </w:r>
            <w:r>
              <w:t>nung mind. 5m). Ggf. Fre</w:t>
            </w:r>
            <w:r>
              <w:t>i</w:t>
            </w:r>
            <w:r>
              <w:t>schaltung der Freileitung.</w:t>
            </w:r>
          </w:p>
          <w:p w14:paraId="0B65D7DD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Cs w:val="21"/>
              </w:rPr>
              <w:t>Verfahren von personenbesetztem Lastaufnahmemittel ist nur zulässig, wenn die Hebebühne vom Hersteller als Hubarbeitsbühne eingerichtet ist und die speziellen Sicherheitsanforderungen ei</w:t>
            </w:r>
            <w:r>
              <w:rPr>
                <w:snapToGrid w:val="0"/>
                <w:szCs w:val="21"/>
              </w:rPr>
              <w:t>n</w:t>
            </w:r>
            <w:r>
              <w:rPr>
                <w:snapToGrid w:val="0"/>
                <w:szCs w:val="21"/>
              </w:rPr>
              <w:t>gehalten werden.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D16EDA9" w14:textId="77777777" w:rsidR="00514FF3" w:rsidRDefault="00514FF3">
            <w:pPr>
              <w:ind w:right="85"/>
              <w:rPr>
                <w:sz w:val="12"/>
              </w:rPr>
            </w:pPr>
          </w:p>
          <w:p w14:paraId="53A844F5" w14:textId="77777777" w:rsidR="00514FF3" w:rsidRDefault="00514FF3">
            <w:pPr>
              <w:spacing w:after="60"/>
              <w:ind w:right="85"/>
              <w:rPr>
                <w:sz w:val="12"/>
              </w:rPr>
            </w:pPr>
          </w:p>
        </w:tc>
      </w:tr>
      <w:tr w:rsidR="00514FF3" w14:paraId="6AB82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0E4F5D9" w14:textId="77777777" w:rsidR="00514FF3" w:rsidRDefault="00514FF3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514FF3" w14:paraId="0F6E3C9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5C97C69" w14:textId="77777777" w:rsidR="00514FF3" w:rsidRDefault="00514FF3">
            <w:pPr>
              <w:spacing w:before="120" w:after="120" w:line="360" w:lineRule="atLeast"/>
            </w:pP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0DB6A49C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Festgestellte Mängel melden.</w:t>
            </w:r>
            <w:r w:rsidR="0038686E">
              <w:rPr>
                <w:snapToGrid w:val="0"/>
                <w:szCs w:val="21"/>
              </w:rPr>
              <w:t xml:space="preserve"> Vorgesetzte informieren. </w:t>
            </w:r>
          </w:p>
          <w:p w14:paraId="32D5ADB2" w14:textId="77777777" w:rsidR="00514FF3" w:rsidRDefault="00514FF3">
            <w:pPr>
              <w:numPr>
                <w:ilvl w:val="0"/>
                <w:numId w:val="32"/>
              </w:numPr>
              <w:tabs>
                <w:tab w:val="clear" w:pos="720"/>
                <w:tab w:val="num" w:pos="358"/>
                <w:tab w:val="center" w:pos="4536"/>
                <w:tab w:val="right" w:pos="9072"/>
              </w:tabs>
              <w:overflowPunct/>
              <w:autoSpaceDE/>
              <w:autoSpaceDN/>
              <w:adjustRightInd/>
              <w:spacing w:after="120"/>
              <w:ind w:left="358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Cs w:val="21"/>
              </w:rPr>
              <w:t xml:space="preserve">Bei erkennbaren Gefährdungen den Betrieb sofort einstellen. </w:t>
            </w:r>
            <w:r>
              <w:rPr>
                <w:rFonts w:cs="Arial"/>
                <w:szCs w:val="22"/>
              </w:rPr>
              <w:t>Hubarbeit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bühnen</w:t>
            </w:r>
            <w:r>
              <w:rPr>
                <w:snapToGrid w:val="0"/>
                <w:szCs w:val="21"/>
              </w:rPr>
              <w:t xml:space="preserve"> gegen ir</w:t>
            </w:r>
            <w:r>
              <w:rPr>
                <w:snapToGrid w:val="0"/>
                <w:szCs w:val="21"/>
              </w:rPr>
              <w:t>r</w:t>
            </w:r>
            <w:r>
              <w:rPr>
                <w:snapToGrid w:val="0"/>
                <w:szCs w:val="21"/>
              </w:rPr>
              <w:t>tümliches Benutzen sichern.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A7541E8" w14:textId="77777777" w:rsidR="00514FF3" w:rsidRDefault="00514FF3">
            <w:pPr>
              <w:spacing w:line="360" w:lineRule="atLeast"/>
            </w:pPr>
          </w:p>
        </w:tc>
      </w:tr>
      <w:tr w:rsidR="00514FF3" w14:paraId="29A82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318635A" w14:textId="77777777" w:rsidR="00514FF3" w:rsidRDefault="00514FF3">
            <w:pPr>
              <w:pStyle w:val="berschrift3"/>
            </w:pPr>
            <w:r>
              <w:lastRenderedPageBreak/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514FF3" w14:paraId="466534BA" w14:textId="77777777">
        <w:tblPrEx>
          <w:tblCellMar>
            <w:top w:w="0" w:type="dxa"/>
            <w:bottom w:w="0" w:type="dxa"/>
          </w:tblCellMar>
        </w:tblPrEx>
        <w:trPr>
          <w:trHeight w:val="3204"/>
        </w:trPr>
        <w:tc>
          <w:tcPr>
            <w:tcW w:w="1343" w:type="dxa"/>
            <w:tcBorders>
              <w:bottom w:val="single" w:sz="4" w:space="0" w:color="auto"/>
            </w:tcBorders>
          </w:tcPr>
          <w:p w14:paraId="3207DF43" w14:textId="77777777" w:rsidR="00514FF3" w:rsidRDefault="00514FF3">
            <w:pPr>
              <w:spacing w:before="120" w:after="60" w:line="360" w:lineRule="atLeast"/>
              <w:jc w:val="center"/>
            </w:pPr>
            <w:r>
              <w:pict w14:anchorId="434047C8">
                <v:shape id="_x0000_i1026" type="#_x0000_t75" style="width:52.35pt;height:52.35pt">
                  <v:imagedata r:id="rId8" o:title=""/>
                </v:shape>
              </w:pic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730CDF62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Ersthelfer heranziehen</w:t>
            </w:r>
          </w:p>
          <w:p w14:paraId="4FE2AED5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b/>
                <w:snapToGrid w:val="0"/>
                <w:szCs w:val="21"/>
              </w:rPr>
            </w:pPr>
            <w:r>
              <w:rPr>
                <w:b/>
                <w:snapToGrid w:val="0"/>
                <w:szCs w:val="21"/>
              </w:rPr>
              <w:t>Notruf: 112</w:t>
            </w:r>
          </w:p>
          <w:p w14:paraId="465A0183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Unfall melden</w:t>
            </w:r>
          </w:p>
          <w:p w14:paraId="05F8DA28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Cs w:val="21"/>
              </w:rPr>
              <w:t xml:space="preserve">Durchgeführte Erste – Hilfe – Leistungen </w:t>
            </w:r>
            <w:r>
              <w:rPr>
                <w:snapToGrid w:val="0"/>
                <w:szCs w:val="21"/>
                <w:u w:val="single"/>
              </w:rPr>
              <w:t>immer</w:t>
            </w:r>
            <w:r>
              <w:rPr>
                <w:snapToGrid w:val="0"/>
                <w:szCs w:val="21"/>
              </w:rPr>
              <w:t xml:space="preserve"> im Verbandsbuch eintr</w:t>
            </w:r>
            <w:r>
              <w:rPr>
                <w:snapToGrid w:val="0"/>
                <w:szCs w:val="21"/>
              </w:rPr>
              <w:t>a</w:t>
            </w:r>
            <w:r>
              <w:rPr>
                <w:snapToGrid w:val="0"/>
                <w:szCs w:val="21"/>
              </w:rPr>
              <w:t>gen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6D5E2A9" w14:textId="77777777" w:rsidR="00514FF3" w:rsidRDefault="00514FF3">
            <w:pPr>
              <w:spacing w:line="360" w:lineRule="atLeast"/>
            </w:pPr>
          </w:p>
        </w:tc>
      </w:tr>
      <w:tr w:rsidR="00514FF3" w14:paraId="4CC49B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3A49A6A" w14:textId="77777777" w:rsidR="00514FF3" w:rsidRDefault="00514FF3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514FF3" w14:paraId="31E49DC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DA11DB1" w14:textId="77777777" w:rsidR="00514FF3" w:rsidRDefault="00514FF3">
            <w:pPr>
              <w:spacing w:line="360" w:lineRule="atLeast"/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18FCCE8B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 xml:space="preserve">Instandhaltung (Wartung, Reparatur) nur von </w:t>
            </w:r>
            <w:r>
              <w:rPr>
                <w:snapToGrid w:val="0"/>
                <w:szCs w:val="21"/>
                <w:u w:val="single"/>
              </w:rPr>
              <w:t>qualifizierten und beauftra</w:t>
            </w:r>
            <w:r>
              <w:rPr>
                <w:snapToGrid w:val="0"/>
                <w:szCs w:val="21"/>
                <w:u w:val="single"/>
              </w:rPr>
              <w:t>g</w:t>
            </w:r>
            <w:r>
              <w:rPr>
                <w:snapToGrid w:val="0"/>
                <w:szCs w:val="21"/>
                <w:u w:val="single"/>
              </w:rPr>
              <w:t>ten Pers</w:t>
            </w:r>
            <w:r>
              <w:rPr>
                <w:snapToGrid w:val="0"/>
                <w:szCs w:val="21"/>
                <w:u w:val="single"/>
              </w:rPr>
              <w:t>o</w:t>
            </w:r>
            <w:r>
              <w:rPr>
                <w:snapToGrid w:val="0"/>
                <w:szCs w:val="21"/>
                <w:u w:val="single"/>
              </w:rPr>
              <w:t>nen</w:t>
            </w:r>
            <w:r>
              <w:rPr>
                <w:snapToGrid w:val="0"/>
                <w:szCs w:val="21"/>
              </w:rPr>
              <w:t xml:space="preserve"> durchführen lassen.</w:t>
            </w:r>
          </w:p>
          <w:p w14:paraId="358C69A9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rFonts w:cs="Arial"/>
                <w:szCs w:val="22"/>
              </w:rPr>
              <w:t>Hubarbeitsbühnen</w:t>
            </w:r>
            <w:r>
              <w:rPr>
                <w:szCs w:val="21"/>
              </w:rPr>
              <w:t xml:space="preserve"> bei Instandhaltungsarbeiten gegen unbeabsichtigtes Absinken s</w:t>
            </w:r>
            <w:r>
              <w:rPr>
                <w:szCs w:val="21"/>
              </w:rPr>
              <w:t>i</w:t>
            </w:r>
            <w:r>
              <w:rPr>
                <w:szCs w:val="21"/>
              </w:rPr>
              <w:t>chern.</w:t>
            </w:r>
          </w:p>
          <w:p w14:paraId="66BE56F4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Nach Instandhaltung sind die Schutzeinrichtungen zu überpr</w:t>
            </w:r>
            <w:r>
              <w:rPr>
                <w:snapToGrid w:val="0"/>
                <w:szCs w:val="21"/>
              </w:rPr>
              <w:t>ü</w:t>
            </w:r>
            <w:r>
              <w:rPr>
                <w:snapToGrid w:val="0"/>
                <w:szCs w:val="21"/>
              </w:rPr>
              <w:t>fen.</w:t>
            </w:r>
          </w:p>
          <w:p w14:paraId="2F1AB153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Bei der Instandhaltung die Betriebsanleitung des Herstellers beac</w:t>
            </w:r>
            <w:r>
              <w:rPr>
                <w:snapToGrid w:val="0"/>
                <w:szCs w:val="21"/>
              </w:rPr>
              <w:t>h</w:t>
            </w:r>
            <w:r>
              <w:rPr>
                <w:snapToGrid w:val="0"/>
                <w:szCs w:val="21"/>
              </w:rPr>
              <w:t>ten.</w:t>
            </w:r>
          </w:p>
          <w:p w14:paraId="2E117919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napToGrid w:val="0"/>
                <w:szCs w:val="21"/>
              </w:rPr>
            </w:pPr>
            <w:r>
              <w:rPr>
                <w:szCs w:val="21"/>
              </w:rPr>
              <w:t>Bei Hydraulikbühnen die Füllstandsmengen regelmäßig kontrollieren.</w:t>
            </w:r>
          </w:p>
          <w:p w14:paraId="6F5F738B" w14:textId="77777777" w:rsidR="00514FF3" w:rsidRDefault="00514FF3">
            <w:pPr>
              <w:pStyle w:val="Kopfzeile"/>
              <w:numPr>
                <w:ilvl w:val="0"/>
                <w:numId w:val="32"/>
              </w:numPr>
              <w:tabs>
                <w:tab w:val="clear" w:pos="720"/>
                <w:tab w:val="num" w:pos="358"/>
              </w:tabs>
              <w:overflowPunct/>
              <w:autoSpaceDE/>
              <w:autoSpaceDN/>
              <w:adjustRightInd/>
              <w:ind w:left="358" w:hanging="283"/>
              <w:textAlignment w:val="auto"/>
              <w:rPr>
                <w:szCs w:val="21"/>
              </w:rPr>
            </w:pPr>
            <w:r>
              <w:rPr>
                <w:snapToGrid w:val="0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Cs w:val="21"/>
                <w:u w:val="single"/>
              </w:rPr>
              <w:t>befähigte Pers</w:t>
            </w:r>
            <w:r>
              <w:rPr>
                <w:snapToGrid w:val="0"/>
                <w:szCs w:val="21"/>
                <w:u w:val="single"/>
              </w:rPr>
              <w:t>o</w:t>
            </w:r>
            <w:r>
              <w:rPr>
                <w:snapToGrid w:val="0"/>
                <w:szCs w:val="21"/>
                <w:u w:val="single"/>
              </w:rPr>
              <w:t>nen</w:t>
            </w:r>
            <w:r>
              <w:rPr>
                <w:snapToGrid w:val="0"/>
                <w:szCs w:val="21"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BE095EE" w14:textId="77777777" w:rsidR="00514FF3" w:rsidRDefault="00514FF3">
            <w:pPr>
              <w:spacing w:line="360" w:lineRule="atLeast"/>
            </w:pPr>
          </w:p>
        </w:tc>
      </w:tr>
    </w:tbl>
    <w:p w14:paraId="2A86D994" w14:textId="77777777" w:rsidR="00514FF3" w:rsidRDefault="00584176">
      <w:pPr>
        <w:spacing w:before="60" w:after="60"/>
        <w:rPr>
          <w:szCs w:val="22"/>
        </w:rPr>
      </w:pPr>
      <w:r>
        <w:rPr>
          <w:noProof/>
          <w:sz w:val="20"/>
        </w:rPr>
        <w:pict w14:anchorId="50DA3701">
          <v:rect id="_x0000_s1036" style="position:absolute;margin-left:-3.25pt;margin-top:-328.85pt;width:542.4pt;height:411.35pt;z-index:5;mso-position-horizontal-relative:text;mso-position-vertical-relative:text" filled="f" strokecolor="blue" strokeweight="7pt"/>
        </w:pict>
      </w:r>
      <w:r w:rsidR="00514FF3">
        <w:rPr>
          <w:szCs w:val="22"/>
        </w:rPr>
        <w:t xml:space="preserve">  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514FF3" w14:paraId="7A5BB8C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255D245" w14:textId="77777777" w:rsidR="00514FF3" w:rsidRDefault="00514FF3">
            <w:pPr>
              <w:tabs>
                <w:tab w:val="left" w:pos="2760"/>
              </w:tabs>
              <w:rPr>
                <w:szCs w:val="22"/>
              </w:rPr>
            </w:pPr>
            <w:r>
              <w:rPr>
                <w:szCs w:val="22"/>
              </w:rPr>
              <w:t xml:space="preserve">  Nächster</w:t>
            </w:r>
          </w:p>
          <w:p w14:paraId="017049D5" w14:textId="77777777" w:rsidR="00514FF3" w:rsidRDefault="00514FF3">
            <w:pPr>
              <w:tabs>
                <w:tab w:val="left" w:pos="2760"/>
              </w:tabs>
              <w:rPr>
                <w:szCs w:val="22"/>
              </w:rPr>
            </w:pPr>
            <w:r>
              <w:rPr>
                <w:szCs w:val="22"/>
              </w:rPr>
              <w:t xml:space="preserve">  Überprüfungstermin:</w:t>
            </w:r>
          </w:p>
        </w:tc>
        <w:tc>
          <w:tcPr>
            <w:tcW w:w="5701" w:type="dxa"/>
          </w:tcPr>
          <w:p w14:paraId="4BCD1CA9" w14:textId="77777777" w:rsidR="00514FF3" w:rsidRDefault="00514FF3">
            <w:pPr>
              <w:rPr>
                <w:szCs w:val="22"/>
              </w:rPr>
            </w:pPr>
            <w:r>
              <w:rPr>
                <w:szCs w:val="22"/>
              </w:rPr>
              <w:t>Unterschrift:</w:t>
            </w:r>
          </w:p>
          <w:p w14:paraId="16D166A6" w14:textId="77777777" w:rsidR="00514FF3" w:rsidRDefault="00514FF3">
            <w:pPr>
              <w:rPr>
                <w:szCs w:val="22"/>
              </w:rPr>
            </w:pPr>
            <w:r>
              <w:rPr>
                <w:szCs w:val="22"/>
              </w:rPr>
              <w:t>Unterne</w:t>
            </w:r>
            <w:r>
              <w:rPr>
                <w:szCs w:val="22"/>
              </w:rPr>
              <w:t>h</w:t>
            </w:r>
            <w:r>
              <w:rPr>
                <w:szCs w:val="22"/>
              </w:rPr>
              <w:t>mer/Geschäftsleitung</w:t>
            </w:r>
          </w:p>
        </w:tc>
      </w:tr>
    </w:tbl>
    <w:p w14:paraId="2BCCBFA0" w14:textId="77777777" w:rsidR="00D823B9" w:rsidRDefault="00D823B9">
      <w:pPr>
        <w:pStyle w:val="Kopfzeile"/>
        <w:tabs>
          <w:tab w:val="clear" w:pos="4536"/>
          <w:tab w:val="clear" w:pos="9072"/>
        </w:tabs>
        <w:rPr>
          <w:szCs w:val="18"/>
        </w:rPr>
      </w:pPr>
    </w:p>
    <w:sectPr w:rsidR="00D823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4F0F" w14:textId="77777777" w:rsidR="003E5E84" w:rsidRDefault="003E5E84">
      <w:r>
        <w:separator/>
      </w:r>
    </w:p>
  </w:endnote>
  <w:endnote w:type="continuationSeparator" w:id="0">
    <w:p w14:paraId="60CC0596" w14:textId="77777777" w:rsidR="003E5E84" w:rsidRDefault="003E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D32D" w14:textId="77777777" w:rsidR="003E5E84" w:rsidRDefault="003E5E84">
      <w:r>
        <w:separator/>
      </w:r>
    </w:p>
  </w:footnote>
  <w:footnote w:type="continuationSeparator" w:id="0">
    <w:p w14:paraId="1A2A571C" w14:textId="77777777" w:rsidR="003E5E84" w:rsidRDefault="003E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E7945"/>
    <w:multiLevelType w:val="hybridMultilevel"/>
    <w:tmpl w:val="43903C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974335">
    <w:abstractNumId w:val="9"/>
  </w:num>
  <w:num w:numId="2" w16cid:durableId="1404791234">
    <w:abstractNumId w:val="12"/>
  </w:num>
  <w:num w:numId="3" w16cid:durableId="1924605109">
    <w:abstractNumId w:val="11"/>
  </w:num>
  <w:num w:numId="4" w16cid:durableId="1553081756">
    <w:abstractNumId w:val="31"/>
  </w:num>
  <w:num w:numId="5" w16cid:durableId="2105571054">
    <w:abstractNumId w:val="24"/>
  </w:num>
  <w:num w:numId="6" w16cid:durableId="1327131702">
    <w:abstractNumId w:val="10"/>
  </w:num>
  <w:num w:numId="7" w16cid:durableId="468402704">
    <w:abstractNumId w:val="2"/>
  </w:num>
  <w:num w:numId="8" w16cid:durableId="454518232">
    <w:abstractNumId w:val="19"/>
  </w:num>
  <w:num w:numId="9" w16cid:durableId="1261528857">
    <w:abstractNumId w:val="8"/>
  </w:num>
  <w:num w:numId="10" w16cid:durableId="1718043048">
    <w:abstractNumId w:val="4"/>
  </w:num>
  <w:num w:numId="11" w16cid:durableId="245115067">
    <w:abstractNumId w:val="30"/>
  </w:num>
  <w:num w:numId="12" w16cid:durableId="1264461811">
    <w:abstractNumId w:val="28"/>
  </w:num>
  <w:num w:numId="13" w16cid:durableId="1466459817">
    <w:abstractNumId w:val="0"/>
  </w:num>
  <w:num w:numId="14" w16cid:durableId="856505320">
    <w:abstractNumId w:val="27"/>
  </w:num>
  <w:num w:numId="15" w16cid:durableId="1821724876">
    <w:abstractNumId w:val="22"/>
  </w:num>
  <w:num w:numId="16" w16cid:durableId="1790322043">
    <w:abstractNumId w:val="6"/>
  </w:num>
  <w:num w:numId="17" w16cid:durableId="425225724">
    <w:abstractNumId w:val="15"/>
  </w:num>
  <w:num w:numId="18" w16cid:durableId="1040016175">
    <w:abstractNumId w:val="16"/>
  </w:num>
  <w:num w:numId="19" w16cid:durableId="1314287520">
    <w:abstractNumId w:val="13"/>
  </w:num>
  <w:num w:numId="20" w16cid:durableId="191773667">
    <w:abstractNumId w:val="25"/>
  </w:num>
  <w:num w:numId="21" w16cid:durableId="1000350750">
    <w:abstractNumId w:val="14"/>
  </w:num>
  <w:num w:numId="22" w16cid:durableId="1097091198">
    <w:abstractNumId w:val="7"/>
  </w:num>
  <w:num w:numId="23" w16cid:durableId="1457065058">
    <w:abstractNumId w:val="23"/>
  </w:num>
  <w:num w:numId="24" w16cid:durableId="1323971595">
    <w:abstractNumId w:val="3"/>
  </w:num>
  <w:num w:numId="25" w16cid:durableId="1204094727">
    <w:abstractNumId w:val="29"/>
  </w:num>
  <w:num w:numId="26" w16cid:durableId="933905063">
    <w:abstractNumId w:val="20"/>
  </w:num>
  <w:num w:numId="27" w16cid:durableId="1017460506">
    <w:abstractNumId w:val="17"/>
  </w:num>
  <w:num w:numId="28" w16cid:durableId="457649282">
    <w:abstractNumId w:val="18"/>
  </w:num>
  <w:num w:numId="29" w16cid:durableId="892497042">
    <w:abstractNumId w:val="1"/>
  </w:num>
  <w:num w:numId="30" w16cid:durableId="1738895553">
    <w:abstractNumId w:val="5"/>
  </w:num>
  <w:num w:numId="31" w16cid:durableId="1586378813">
    <w:abstractNumId w:val="21"/>
  </w:num>
  <w:num w:numId="32" w16cid:durableId="11358758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86E"/>
    <w:rsid w:val="0038686E"/>
    <w:rsid w:val="003E5E84"/>
    <w:rsid w:val="00514FF3"/>
    <w:rsid w:val="00584176"/>
    <w:rsid w:val="00720C57"/>
    <w:rsid w:val="00A371E7"/>
    <w:rsid w:val="00A56C5A"/>
    <w:rsid w:val="00BF3DE1"/>
    <w:rsid w:val="00D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7A16441F"/>
  <w15:chartTrackingRefBased/>
  <w15:docId w15:val="{BA7E6E34-75C8-4797-BDA3-386683D3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60" w:after="60"/>
      <w:jc w:val="center"/>
      <w:outlineLvl w:val="5"/>
    </w:pPr>
    <w:rPr>
      <w:b/>
      <w:bCs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2024-03-25T17:01:00Z</dcterms:created>
  <dcterms:modified xsi:type="dcterms:W3CDTF">2024-03-25T17:01:00Z</dcterms:modified>
</cp:coreProperties>
</file>