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AABE6" w14:textId="77777777" w:rsidR="00A93554" w:rsidRDefault="00A93554">
      <w:pPr>
        <w:tabs>
          <w:tab w:val="left" w:pos="7088"/>
        </w:tabs>
        <w:spacing w:line="360" w:lineRule="atLeast"/>
      </w:pPr>
      <w:r>
        <w:rPr>
          <w:noProof/>
        </w:rPr>
        <w:pict w14:anchorId="65E26E78">
          <v:rect id="_x0000_s1027" style="position:absolute;margin-left:-5.75pt;margin-top:-1.2pt;width:548.4pt;height:774.1pt;z-index:3" o:allowincell="f" filled="f" strokecolor="blue" strokeweight="7pt"/>
        </w:pict>
      </w:r>
      <w:r>
        <w:rPr>
          <w:noProof/>
          <w:sz w:val="20"/>
        </w:rPr>
        <w:pict w14:anchorId="3AB4E4AF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65F9DC2E" w14:textId="77777777" w:rsidR="00A93554" w:rsidRDefault="00A93554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48B5E76A">
          <v:shape id="_x0000_s1026" type="#_x0000_t202" style="position:absolute;margin-left:184.9pt;margin-top:1.05pt;width:177.75pt;height:39.75pt;z-index:2" o:allowincell="f" filled="f" stroked="f">
            <v:textbox style="mso-next-textbox:#_x0000_s1026">
              <w:txbxContent>
                <w:p w14:paraId="1145F968" w14:textId="77777777" w:rsidR="00A93554" w:rsidRDefault="00A93554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447DD449" w14:textId="77777777" w:rsidR="00A93554" w:rsidRDefault="00A9355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für transportable Silos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47A17198" w14:textId="77777777" w:rsidR="00A93554" w:rsidRDefault="00A93554">
      <w:r>
        <w:t xml:space="preserve">Bearbeitungsstand: </w:t>
      </w:r>
      <w:r w:rsidR="008F7125">
        <w:t>01</w:t>
      </w:r>
      <w:r>
        <w:t>/</w:t>
      </w:r>
      <w:r w:rsidR="00E96DC6">
        <w:t>2</w:t>
      </w:r>
      <w:r w:rsidR="008F7125">
        <w:t>4</w:t>
      </w:r>
      <w:r>
        <w:br/>
      </w:r>
    </w:p>
    <w:p w14:paraId="178FA24C" w14:textId="77777777" w:rsidR="00A93554" w:rsidRDefault="00A93554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608"/>
        <w:gridCol w:w="1118"/>
      </w:tblGrid>
      <w:tr w:rsidR="00A93554" w14:paraId="4C655D16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7C51FB6C" w14:textId="77777777" w:rsidR="00A93554" w:rsidRDefault="00A93554">
            <w:pPr>
              <w:spacing w:line="360" w:lineRule="atLeast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14:paraId="702758D0" w14:textId="77777777" w:rsidR="00A93554" w:rsidRDefault="00A93554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0000FF"/>
          </w:tcPr>
          <w:p w14:paraId="30872A0F" w14:textId="77777777" w:rsidR="00A93554" w:rsidRDefault="00A93554">
            <w:pPr>
              <w:spacing w:line="360" w:lineRule="atLeast"/>
            </w:pPr>
          </w:p>
        </w:tc>
      </w:tr>
      <w:tr w:rsidR="00A93554" w14:paraId="6422CCF7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7B0F473" w14:textId="77777777" w:rsidR="00A93554" w:rsidRDefault="00A93554">
            <w:pPr>
              <w:spacing w:before="60" w:after="60"/>
              <w:jc w:val="center"/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0A9EC95B" w14:textId="77777777" w:rsidR="00A93554" w:rsidRDefault="00A93554">
            <w:pPr>
              <w:pStyle w:val="berschrift1"/>
              <w:jc w:val="center"/>
              <w:rPr>
                <w:sz w:val="24"/>
              </w:rPr>
            </w:pPr>
            <w:r>
              <w:rPr>
                <w:sz w:val="24"/>
              </w:rPr>
              <w:t>Einsatz von transpo</w:t>
            </w:r>
            <w:r>
              <w:rPr>
                <w:sz w:val="24"/>
              </w:rPr>
              <w:t>r</w:t>
            </w:r>
            <w:r>
              <w:rPr>
                <w:sz w:val="24"/>
              </w:rPr>
              <w:t>tablen Silos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089F58EA" w14:textId="77777777" w:rsidR="00A93554" w:rsidRDefault="00A93554">
            <w:pPr>
              <w:spacing w:line="360" w:lineRule="atLeast"/>
            </w:pPr>
          </w:p>
        </w:tc>
      </w:tr>
      <w:tr w:rsidR="00A93554" w14:paraId="7A3F291C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261E1645" w14:textId="77777777" w:rsidR="00A93554" w:rsidRDefault="00A93554">
            <w:pPr>
              <w:spacing w:line="360" w:lineRule="atLeast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14:paraId="6B49162D" w14:textId="77777777" w:rsidR="00A93554" w:rsidRDefault="00A93554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0000FF"/>
          </w:tcPr>
          <w:p w14:paraId="6DE4B6A1" w14:textId="77777777" w:rsidR="00A93554" w:rsidRDefault="00A93554">
            <w:pPr>
              <w:spacing w:line="360" w:lineRule="atLeast"/>
            </w:pPr>
          </w:p>
        </w:tc>
      </w:tr>
      <w:tr w:rsidR="00A93554" w14:paraId="5DD14072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419034B" w14:textId="77777777" w:rsidR="00A93554" w:rsidRDefault="00A93554">
            <w:pPr>
              <w:spacing w:before="120"/>
              <w:jc w:val="center"/>
              <w:rPr>
                <w:rFonts w:cs="Arial"/>
                <w:sz w:val="16"/>
              </w:rPr>
            </w:pPr>
          </w:p>
          <w:p w14:paraId="2EA03248" w14:textId="77777777" w:rsidR="00A93554" w:rsidRDefault="00032096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729681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3.65pt;height:46.8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52B5CC6C" w14:textId="77777777" w:rsidR="00A93554" w:rsidRDefault="00A93554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Quetschgefahren beim Aufstellen</w:t>
            </w:r>
          </w:p>
          <w:p w14:paraId="23702407" w14:textId="77777777" w:rsidR="00A93554" w:rsidRDefault="00A93554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Gefahren durch Umstürzen des Silos</w:t>
            </w:r>
          </w:p>
          <w:p w14:paraId="2022DD63" w14:textId="77777777" w:rsidR="00A93554" w:rsidRDefault="00A93554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Gefahren </w:t>
            </w:r>
            <w:proofErr w:type="gramStart"/>
            <w:r>
              <w:rPr>
                <w:sz w:val="21"/>
                <w:szCs w:val="21"/>
              </w:rPr>
              <w:t>durch drehende</w:t>
            </w:r>
            <w:proofErr w:type="gramEnd"/>
            <w:r>
              <w:rPr>
                <w:sz w:val="21"/>
                <w:szCs w:val="21"/>
              </w:rPr>
              <w:t xml:space="preserve"> und/oder druckbeaufschlagte Teile</w:t>
            </w:r>
          </w:p>
          <w:p w14:paraId="7493E552" w14:textId="77777777" w:rsidR="00A93554" w:rsidRDefault="00A93554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Gefahren durch herausgeschleudertes Material</w:t>
            </w:r>
          </w:p>
          <w:p w14:paraId="68D16A21" w14:textId="77777777" w:rsidR="00A93554" w:rsidRDefault="00A93554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Belastungen durch im Silo gelagerte Gefahrstoffe</w:t>
            </w:r>
          </w:p>
          <w:p w14:paraId="44E17132" w14:textId="77777777" w:rsidR="00A93554" w:rsidRDefault="00A93554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Absturzgefahr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17C052A6" w14:textId="77777777" w:rsidR="00A93554" w:rsidRDefault="00A93554">
            <w:pPr>
              <w:spacing w:before="120"/>
              <w:jc w:val="center"/>
              <w:rPr>
                <w:sz w:val="16"/>
              </w:rPr>
            </w:pPr>
          </w:p>
          <w:p w14:paraId="482F68B8" w14:textId="77777777" w:rsidR="00A93554" w:rsidRDefault="00A93554">
            <w:pPr>
              <w:spacing w:before="120"/>
              <w:jc w:val="center"/>
            </w:pPr>
          </w:p>
        </w:tc>
      </w:tr>
      <w:tr w:rsidR="00A93554" w14:paraId="4DBC0E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FA23AF1" w14:textId="77777777" w:rsidR="00A93554" w:rsidRDefault="00A93554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Verhaltensregeln</w:t>
            </w:r>
          </w:p>
        </w:tc>
      </w:tr>
      <w:tr w:rsidR="00A93554" w14:paraId="7274261E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42762ADA" w14:textId="77777777" w:rsidR="00A93554" w:rsidRDefault="00A93554">
            <w:pPr>
              <w:rPr>
                <w:sz w:val="12"/>
              </w:rPr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4A56CF80" w14:textId="77777777" w:rsidR="00A93554" w:rsidRDefault="00E96DC6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="00A93554">
              <w:rPr>
                <w:sz w:val="21"/>
                <w:szCs w:val="21"/>
              </w:rPr>
              <w:t xml:space="preserve">ie Betriebsanleitung </w:t>
            </w:r>
            <w:r w:rsidR="00EA17BC">
              <w:rPr>
                <w:sz w:val="21"/>
                <w:szCs w:val="21"/>
              </w:rPr>
              <w:t xml:space="preserve">und Aufstellungsanweisung </w:t>
            </w:r>
            <w:r w:rsidR="00A93554">
              <w:rPr>
                <w:sz w:val="21"/>
                <w:szCs w:val="21"/>
              </w:rPr>
              <w:t>des Herstellers beachten.</w:t>
            </w:r>
          </w:p>
          <w:p w14:paraId="7F634753" w14:textId="77777777" w:rsidR="00A93554" w:rsidRDefault="00A93554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Beim Aufstellen nicht im Gefahrenbereich aufhalten. </w:t>
            </w:r>
          </w:p>
          <w:p w14:paraId="1EB43596" w14:textId="77777777" w:rsidR="00A93554" w:rsidRDefault="00A93554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Auf tragfähigem Untergrund aufstellen und maximalen Stützdruck beachten. Verlauf von Kanälen und Schächten berücksichtigen. Verbau statisch nachweisen. So au</w:t>
            </w:r>
            <w:r>
              <w:rPr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stellen, dass Sturmschäden (ggf. Verankern) und Unterspülen des Standplatzes ve</w:t>
            </w:r>
            <w:r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mieden werden. Den sicheren Stand ko</w:t>
            </w: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trollieren.</w:t>
            </w:r>
          </w:p>
          <w:p w14:paraId="02788DD8" w14:textId="77777777" w:rsidR="00A93554" w:rsidRDefault="00A93554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Abstand zu Baugruben und Gräben einhalten.</w:t>
            </w:r>
          </w:p>
          <w:p w14:paraId="65E63C7B" w14:textId="77777777" w:rsidR="00A93554" w:rsidRPr="00EA17BC" w:rsidRDefault="00A93554" w:rsidP="00EA17BC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Abstand zu Freileitungen halten.</w:t>
            </w:r>
          </w:p>
          <w:p w14:paraId="4CAB308C" w14:textId="77777777" w:rsidR="00E96DC6" w:rsidRDefault="00E96DC6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Absicherung des öffentlichen Verkehrsraums gemäß den Regelwerken.</w:t>
            </w:r>
          </w:p>
          <w:p w14:paraId="5E7250FC" w14:textId="77777777" w:rsidR="00A93554" w:rsidRDefault="00A93554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Ausreichende Zugangsmöglichkeiten erhalten.</w:t>
            </w:r>
          </w:p>
          <w:p w14:paraId="6299C37D" w14:textId="77777777" w:rsidR="00A93554" w:rsidRDefault="00A93554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Beim Befüllen Maschinen stillsetzen</w:t>
            </w:r>
            <w:r w:rsidR="00EA17BC">
              <w:rPr>
                <w:sz w:val="21"/>
                <w:szCs w:val="21"/>
              </w:rPr>
              <w:t>.</w:t>
            </w:r>
          </w:p>
          <w:p w14:paraId="3FED7A7C" w14:textId="77777777" w:rsidR="00A93554" w:rsidRDefault="00A93554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Beim Befüllen und Entleeren nicht vom zulässigen Betriebsdruck abweichen und auf fun</w:t>
            </w:r>
            <w:r>
              <w:rPr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>tionsfähige Sicherheitseinrichtungen achten.</w:t>
            </w:r>
          </w:p>
          <w:p w14:paraId="1480CC5A" w14:textId="77777777" w:rsidR="00A93554" w:rsidRDefault="00A93554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Förderleitungen/Schläuche vor Beschädigungen und Verstopfungen schü</w:t>
            </w:r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zen.</w:t>
            </w:r>
          </w:p>
          <w:p w14:paraId="2C2C625A" w14:textId="77777777" w:rsidR="00A93554" w:rsidRDefault="00A93554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Betriebsanweisungen für Gefahrstoffe beachten.</w:t>
            </w:r>
            <w:r w:rsidR="00EA17B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Hautschutzmaßnahmen treffen und persönliche Schutzausrüstung wie z.B. Hand- und Auge</w:t>
            </w: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schutz benutzen.</w:t>
            </w:r>
          </w:p>
          <w:p w14:paraId="3DC5DF60" w14:textId="77777777" w:rsidR="00A93554" w:rsidRDefault="00A93554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Silos nur mit dafür zugelassenen Geräten </w:t>
            </w:r>
            <w:r w:rsidR="00E96DC6">
              <w:rPr>
                <w:sz w:val="21"/>
                <w:szCs w:val="21"/>
              </w:rPr>
              <w:t xml:space="preserve">bestimmungsgemäß </w:t>
            </w:r>
            <w:r>
              <w:rPr>
                <w:sz w:val="21"/>
                <w:szCs w:val="21"/>
              </w:rPr>
              <w:t>versetzen.</w:t>
            </w:r>
          </w:p>
          <w:p w14:paraId="6B17470E" w14:textId="77777777" w:rsidR="00A93554" w:rsidRDefault="00A93554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Übergabe/Übernahme dokumentieren.</w:t>
            </w:r>
          </w:p>
          <w:p w14:paraId="770DD47A" w14:textId="77777777" w:rsidR="00A93554" w:rsidRDefault="00A93554">
            <w:pPr>
              <w:numPr>
                <w:ilvl w:val="0"/>
                <w:numId w:val="8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Betrieb nur durch unterwiesene Personen.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689D37D7" w14:textId="77777777" w:rsidR="00A93554" w:rsidRDefault="00A93554">
            <w:pPr>
              <w:ind w:right="85"/>
              <w:rPr>
                <w:sz w:val="12"/>
              </w:rPr>
            </w:pPr>
          </w:p>
        </w:tc>
      </w:tr>
      <w:tr w:rsidR="00A93554" w14:paraId="7F7A5C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CE74621" w14:textId="77777777" w:rsidR="00A93554" w:rsidRDefault="00A93554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A93554" w14:paraId="61334F46" w14:textId="77777777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1186" w:type="dxa"/>
            <w:tcBorders>
              <w:bottom w:val="single" w:sz="4" w:space="0" w:color="auto"/>
            </w:tcBorders>
          </w:tcPr>
          <w:p w14:paraId="14339047" w14:textId="77777777" w:rsidR="00A93554" w:rsidRDefault="00A93554">
            <w:pPr>
              <w:spacing w:before="120" w:after="120" w:line="360" w:lineRule="atLeast"/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19329DFB" w14:textId="77777777" w:rsidR="00A93554" w:rsidRDefault="00A93554">
            <w:pPr>
              <w:numPr>
                <w:ilvl w:val="0"/>
                <w:numId w:val="9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Maschine stillsetzen und gegen irrtüml</w:t>
            </w:r>
            <w:r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ches Einschalten sichern.</w:t>
            </w:r>
          </w:p>
          <w:p w14:paraId="45E363C6" w14:textId="77777777" w:rsidR="00A93554" w:rsidRDefault="00A93554">
            <w:pPr>
              <w:numPr>
                <w:ilvl w:val="0"/>
                <w:numId w:val="9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 Verstopfungen zuerst den Druck in der Förderleitung abbauen. Nicht in Bereichen au</w:t>
            </w:r>
            <w:r>
              <w:rPr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halten, wo Material herausgeschleudert werden könnte.</w:t>
            </w:r>
          </w:p>
          <w:p w14:paraId="3F77889C" w14:textId="77777777" w:rsidR="00E96DC6" w:rsidRDefault="00E96DC6">
            <w:pPr>
              <w:numPr>
                <w:ilvl w:val="0"/>
                <w:numId w:val="9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Vorgesetzte informieren.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67C08ECD" w14:textId="77777777" w:rsidR="00A93554" w:rsidRDefault="00A93554">
            <w:pPr>
              <w:spacing w:line="360" w:lineRule="atLeast"/>
            </w:pPr>
          </w:p>
        </w:tc>
      </w:tr>
      <w:tr w:rsidR="00A93554" w14:paraId="0E795A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0875137D" w14:textId="77777777" w:rsidR="00A93554" w:rsidRDefault="00A93554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A93554" w14:paraId="57F2F059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09E6E99" w14:textId="77777777" w:rsidR="00A93554" w:rsidRDefault="00A93554">
            <w:pPr>
              <w:spacing w:before="120" w:after="60" w:line="360" w:lineRule="atLeast"/>
              <w:jc w:val="center"/>
            </w:pPr>
            <w:r>
              <w:pict w14:anchorId="55CA6699">
                <v:shape id="_x0000_i1026" type="#_x0000_t75" style="width:52.35pt;height:52.35pt">
                  <v:imagedata r:id="rId8" o:title=""/>
                </v:shape>
              </w:pict>
            </w: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3905DFE4" w14:textId="77777777" w:rsidR="00A93554" w:rsidRDefault="00A93554">
            <w:pPr>
              <w:numPr>
                <w:ilvl w:val="0"/>
                <w:numId w:val="10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Betrieb sofort einstellen!</w:t>
            </w:r>
          </w:p>
          <w:p w14:paraId="316AEE6B" w14:textId="77777777" w:rsidR="00A93554" w:rsidRDefault="00A93554">
            <w:pPr>
              <w:numPr>
                <w:ilvl w:val="0"/>
                <w:numId w:val="10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Ersthelfer h</w:t>
            </w: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ranziehen.</w:t>
            </w:r>
          </w:p>
          <w:p w14:paraId="6E494860" w14:textId="77777777" w:rsidR="00A93554" w:rsidRDefault="00A93554">
            <w:pPr>
              <w:numPr>
                <w:ilvl w:val="0"/>
                <w:numId w:val="10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Notruf: 112</w:t>
            </w:r>
          </w:p>
          <w:p w14:paraId="0C6A6BFC" w14:textId="77777777" w:rsidR="00A93554" w:rsidRDefault="00A93554">
            <w:pPr>
              <w:numPr>
                <w:ilvl w:val="0"/>
                <w:numId w:val="10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Unfall melden.</w:t>
            </w:r>
          </w:p>
          <w:p w14:paraId="69BD659B" w14:textId="77777777" w:rsidR="00A93554" w:rsidRDefault="00A93554">
            <w:pPr>
              <w:numPr>
                <w:ilvl w:val="0"/>
                <w:numId w:val="10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 Kontakt mit Gefahrstoff entsprechende Betriebsanweisung beachten</w:t>
            </w:r>
            <w:r w:rsidR="00E96DC6">
              <w:rPr>
                <w:sz w:val="21"/>
                <w:szCs w:val="21"/>
              </w:rPr>
              <w:t>.</w:t>
            </w:r>
          </w:p>
          <w:p w14:paraId="21EFDAF4" w14:textId="77777777" w:rsidR="00E96DC6" w:rsidRDefault="00E96DC6">
            <w:pPr>
              <w:numPr>
                <w:ilvl w:val="0"/>
                <w:numId w:val="10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Augenspülflasche bereithalten.</w:t>
            </w:r>
          </w:p>
          <w:p w14:paraId="09AF8ED9" w14:textId="77777777" w:rsidR="00A93554" w:rsidRDefault="00A93554">
            <w:pPr>
              <w:numPr>
                <w:ilvl w:val="0"/>
                <w:numId w:val="10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Durchgeführte Erste</w:t>
            </w:r>
            <w:r w:rsidR="00E96DC6">
              <w:rPr>
                <w:rFonts w:cs="Arial"/>
                <w:sz w:val="21"/>
                <w:szCs w:val="21"/>
              </w:rPr>
              <w:t>-</w:t>
            </w:r>
            <w:r>
              <w:rPr>
                <w:rFonts w:cs="Arial"/>
                <w:sz w:val="21"/>
                <w:szCs w:val="21"/>
              </w:rPr>
              <w:t>Hilfe</w:t>
            </w:r>
            <w:r w:rsidR="00E96DC6">
              <w:rPr>
                <w:rFonts w:cs="Arial"/>
                <w:sz w:val="21"/>
                <w:szCs w:val="21"/>
              </w:rPr>
              <w:t>-</w:t>
            </w:r>
            <w:r>
              <w:rPr>
                <w:rFonts w:cs="Arial"/>
                <w:sz w:val="21"/>
                <w:szCs w:val="21"/>
              </w:rPr>
              <w:t xml:space="preserve">Leistungen </w:t>
            </w:r>
            <w:r>
              <w:rPr>
                <w:rFonts w:cs="Arial"/>
                <w:sz w:val="21"/>
                <w:szCs w:val="21"/>
                <w:u w:val="single"/>
              </w:rPr>
              <w:t>immer</w:t>
            </w:r>
            <w:r>
              <w:rPr>
                <w:rFonts w:cs="Arial"/>
                <w:sz w:val="21"/>
                <w:szCs w:val="21"/>
              </w:rPr>
              <w:t xml:space="preserve"> im Verbandsbuch eintr</w:t>
            </w:r>
            <w:r>
              <w:rPr>
                <w:rFonts w:cs="Arial"/>
                <w:sz w:val="21"/>
                <w:szCs w:val="21"/>
              </w:rPr>
              <w:t>a</w:t>
            </w:r>
            <w:r>
              <w:rPr>
                <w:rFonts w:cs="Arial"/>
                <w:sz w:val="21"/>
                <w:szCs w:val="21"/>
              </w:rPr>
              <w:t>gen.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2F07C3E5" w14:textId="77777777" w:rsidR="00A93554" w:rsidRDefault="00A93554">
            <w:pPr>
              <w:spacing w:line="360" w:lineRule="atLeast"/>
            </w:pPr>
          </w:p>
        </w:tc>
      </w:tr>
      <w:tr w:rsidR="00A93554" w14:paraId="4F2F6E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DFB5D1A" w14:textId="77777777" w:rsidR="00A93554" w:rsidRDefault="00A93554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A93554" w14:paraId="3EB29263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9C095E7" w14:textId="77777777" w:rsidR="00A93554" w:rsidRDefault="00A93554">
            <w:pPr>
              <w:spacing w:line="360" w:lineRule="atLeast"/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1C43A426" w14:textId="77777777" w:rsidR="00A93554" w:rsidRDefault="00A93554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Instandhaltung (Wartung, Reparatur) nur </w:t>
            </w:r>
            <w:r>
              <w:rPr>
                <w:snapToGrid w:val="0"/>
                <w:sz w:val="21"/>
                <w:szCs w:val="21"/>
                <w:u w:val="single"/>
              </w:rPr>
              <w:t>von qualifizierten und beauftragten Pe</w:t>
            </w:r>
            <w:r>
              <w:rPr>
                <w:snapToGrid w:val="0"/>
                <w:sz w:val="21"/>
                <w:szCs w:val="21"/>
                <w:u w:val="single"/>
              </w:rPr>
              <w:t>r</w:t>
            </w:r>
            <w:r>
              <w:rPr>
                <w:snapToGrid w:val="0"/>
                <w:sz w:val="21"/>
                <w:szCs w:val="21"/>
                <w:u w:val="single"/>
              </w:rPr>
              <w:t>sonen</w:t>
            </w:r>
            <w:r>
              <w:rPr>
                <w:snapToGrid w:val="0"/>
                <w:sz w:val="21"/>
                <w:szCs w:val="21"/>
              </w:rPr>
              <w:t xml:space="preserve"> durc</w:t>
            </w:r>
            <w:r>
              <w:rPr>
                <w:snapToGrid w:val="0"/>
                <w:sz w:val="21"/>
                <w:szCs w:val="21"/>
              </w:rPr>
              <w:t>h</w:t>
            </w:r>
            <w:r>
              <w:rPr>
                <w:snapToGrid w:val="0"/>
                <w:sz w:val="21"/>
                <w:szCs w:val="21"/>
              </w:rPr>
              <w:t>führen lassen.</w:t>
            </w:r>
          </w:p>
          <w:p w14:paraId="69FD087D" w14:textId="77777777" w:rsidR="00A93554" w:rsidRDefault="00A93554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Nach Instandhaltung sind die Schutzeinrichtungen zu überpr</w:t>
            </w:r>
            <w:r>
              <w:rPr>
                <w:snapToGrid w:val="0"/>
                <w:sz w:val="21"/>
                <w:szCs w:val="21"/>
              </w:rPr>
              <w:t>ü</w:t>
            </w:r>
            <w:r>
              <w:rPr>
                <w:snapToGrid w:val="0"/>
                <w:sz w:val="21"/>
                <w:szCs w:val="21"/>
              </w:rPr>
              <w:t>fen.</w:t>
            </w:r>
          </w:p>
          <w:p w14:paraId="2B3B9694" w14:textId="77777777" w:rsidR="00A93554" w:rsidRDefault="00A93554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Bei der Instandhaltung die Betriebsanleitung des Herstellers beac</w:t>
            </w:r>
            <w:r>
              <w:rPr>
                <w:snapToGrid w:val="0"/>
                <w:sz w:val="21"/>
                <w:szCs w:val="21"/>
              </w:rPr>
              <w:t>h</w:t>
            </w:r>
            <w:r>
              <w:rPr>
                <w:snapToGrid w:val="0"/>
                <w:sz w:val="21"/>
                <w:szCs w:val="21"/>
              </w:rPr>
              <w:t>ten.</w:t>
            </w:r>
          </w:p>
          <w:p w14:paraId="280C6636" w14:textId="77777777" w:rsidR="00A93554" w:rsidRDefault="00A93554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Regelmäßige Prüfungen (z.B. elektrisch, mechanisch) durch </w:t>
            </w:r>
            <w:r>
              <w:rPr>
                <w:snapToGrid w:val="0"/>
                <w:sz w:val="21"/>
                <w:szCs w:val="21"/>
                <w:u w:val="single"/>
              </w:rPr>
              <w:t>befähigte Pers</w:t>
            </w:r>
            <w:r>
              <w:rPr>
                <w:snapToGrid w:val="0"/>
                <w:sz w:val="21"/>
                <w:szCs w:val="21"/>
                <w:u w:val="single"/>
              </w:rPr>
              <w:t>o</w:t>
            </w:r>
            <w:r>
              <w:rPr>
                <w:snapToGrid w:val="0"/>
                <w:sz w:val="21"/>
                <w:szCs w:val="21"/>
                <w:u w:val="single"/>
              </w:rPr>
              <w:t>nen.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7EB9F32A" w14:textId="77777777" w:rsidR="00A93554" w:rsidRDefault="00A93554">
            <w:pPr>
              <w:spacing w:line="360" w:lineRule="atLeast"/>
            </w:pPr>
          </w:p>
        </w:tc>
      </w:tr>
    </w:tbl>
    <w:p w14:paraId="63A6AAD1" w14:textId="77777777" w:rsidR="00A93554" w:rsidRDefault="00A93554">
      <w:pPr>
        <w:rPr>
          <w:sz w:val="22"/>
        </w:rPr>
      </w:pPr>
      <w:r>
        <w:rPr>
          <w:sz w:val="22"/>
        </w:rPr>
        <w:t xml:space="preserve"> 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A93554" w14:paraId="534BA014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BF3FF60" w14:textId="77777777" w:rsidR="00A93554" w:rsidRDefault="00A93554">
            <w:pPr>
              <w:rPr>
                <w:sz w:val="22"/>
              </w:rPr>
            </w:pPr>
            <w:r>
              <w:rPr>
                <w:sz w:val="22"/>
              </w:rPr>
              <w:t xml:space="preserve"> Nächster</w:t>
            </w:r>
          </w:p>
          <w:p w14:paraId="2A98CB7C" w14:textId="77777777" w:rsidR="00A93554" w:rsidRDefault="00A93554">
            <w:pPr>
              <w:rPr>
                <w:sz w:val="22"/>
              </w:rPr>
            </w:pPr>
            <w:r>
              <w:rPr>
                <w:sz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42C32412" w14:textId="77777777" w:rsidR="00A93554" w:rsidRDefault="00A93554">
            <w:pPr>
              <w:rPr>
                <w:sz w:val="22"/>
              </w:rPr>
            </w:pPr>
            <w:r>
              <w:rPr>
                <w:sz w:val="22"/>
              </w:rPr>
              <w:t>Unterschrift:</w:t>
            </w:r>
            <w:r>
              <w:rPr>
                <w:sz w:val="22"/>
              </w:rPr>
              <w:br/>
              <w:t>Unterne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mer/Geschäftsleitung</w:t>
            </w:r>
          </w:p>
        </w:tc>
      </w:tr>
    </w:tbl>
    <w:p w14:paraId="1748FB6E" w14:textId="77777777" w:rsidR="00061903" w:rsidRDefault="00061903">
      <w:pPr>
        <w:rPr>
          <w:sz w:val="8"/>
        </w:rPr>
      </w:pPr>
    </w:p>
    <w:sectPr w:rsidR="00061903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9986" w14:textId="77777777" w:rsidR="00643BDA" w:rsidRDefault="00643BDA">
      <w:r>
        <w:separator/>
      </w:r>
    </w:p>
  </w:endnote>
  <w:endnote w:type="continuationSeparator" w:id="0">
    <w:p w14:paraId="591F2D7D" w14:textId="77777777" w:rsidR="00643BDA" w:rsidRDefault="0064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8A7A1" w14:textId="77777777" w:rsidR="00643BDA" w:rsidRDefault="00643BDA">
      <w:r>
        <w:separator/>
      </w:r>
    </w:p>
  </w:footnote>
  <w:footnote w:type="continuationSeparator" w:id="0">
    <w:p w14:paraId="5D3E82AF" w14:textId="77777777" w:rsidR="00643BDA" w:rsidRDefault="0064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7D5D"/>
    <w:multiLevelType w:val="hybridMultilevel"/>
    <w:tmpl w:val="699613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506985">
    <w:abstractNumId w:val="2"/>
  </w:num>
  <w:num w:numId="2" w16cid:durableId="1484200448">
    <w:abstractNumId w:val="5"/>
  </w:num>
  <w:num w:numId="3" w16cid:durableId="736127100">
    <w:abstractNumId w:val="4"/>
  </w:num>
  <w:num w:numId="4" w16cid:durableId="576209677">
    <w:abstractNumId w:val="11"/>
  </w:num>
  <w:num w:numId="5" w16cid:durableId="185027235">
    <w:abstractNumId w:val="10"/>
  </w:num>
  <w:num w:numId="6" w16cid:durableId="564681870">
    <w:abstractNumId w:val="3"/>
  </w:num>
  <w:num w:numId="7" w16cid:durableId="1845783430">
    <w:abstractNumId w:val="0"/>
  </w:num>
  <w:num w:numId="8" w16cid:durableId="1143037573">
    <w:abstractNumId w:val="6"/>
  </w:num>
  <w:num w:numId="9" w16cid:durableId="1554539414">
    <w:abstractNumId w:val="9"/>
  </w:num>
  <w:num w:numId="10" w16cid:durableId="1279221329">
    <w:abstractNumId w:val="7"/>
  </w:num>
  <w:num w:numId="11" w16cid:durableId="27075670">
    <w:abstractNumId w:val="1"/>
  </w:num>
  <w:num w:numId="12" w16cid:durableId="701319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DC6"/>
    <w:rsid w:val="00032096"/>
    <w:rsid w:val="0003391D"/>
    <w:rsid w:val="00061903"/>
    <w:rsid w:val="00123C0C"/>
    <w:rsid w:val="00643BDA"/>
    <w:rsid w:val="007223F2"/>
    <w:rsid w:val="008F7125"/>
    <w:rsid w:val="00A93554"/>
    <w:rsid w:val="00E96DC6"/>
    <w:rsid w:val="00EA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8808710"/>
  <w15:chartTrackingRefBased/>
  <w15:docId w15:val="{EE7558F6-5C0C-4730-A9AF-98F2C46A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M3-20</vt:lpstr>
    </vt:vector>
  </TitlesOfParts>
  <Company>Steinbruchs-BG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M3-20</dc:title>
  <dc:subject/>
  <dc:creator>StBG</dc:creator>
  <cp:keywords/>
  <cp:lastModifiedBy>Melanie Fiebiger</cp:lastModifiedBy>
  <cp:revision>2</cp:revision>
  <cp:lastPrinted>2003-04-15T14:10:00Z</cp:lastPrinted>
  <dcterms:created xsi:type="dcterms:W3CDTF">2024-03-25T17:27:00Z</dcterms:created>
  <dcterms:modified xsi:type="dcterms:W3CDTF">2024-03-25T17:27:00Z</dcterms:modified>
</cp:coreProperties>
</file>