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9EC0" w14:textId="77777777" w:rsidR="00AC51B2" w:rsidRDefault="00AC51B2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5AA132F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4" o:allowincell="f" filled="f" stroked="f">
            <v:textbox style="mso-next-textbox:#_x0000_s1026">
              <w:txbxContent>
                <w:p w14:paraId="3FF4205D" w14:textId="77777777" w:rsidR="00AC51B2" w:rsidRDefault="00AC51B2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38A5F11" w14:textId="77777777" w:rsidR="00AC51B2" w:rsidRDefault="00AC51B2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Batterieladeger</w:t>
                  </w:r>
                  <w:r>
                    <w:rPr>
                      <w:bCs w:val="0"/>
                      <w:sz w:val="24"/>
                    </w:rPr>
                    <w:t>ä</w:t>
                  </w:r>
                  <w:r>
                    <w:rPr>
                      <w:bCs w:val="0"/>
                      <w:sz w:val="24"/>
                    </w:rPr>
                    <w:t>te</w:t>
                  </w:r>
                </w:p>
              </w:txbxContent>
            </v:textbox>
          </v:shape>
        </w:pict>
      </w:r>
      <w:r>
        <w:rPr>
          <w:noProof/>
        </w:rPr>
        <w:pict w14:anchorId="752D05EB">
          <v:rect id="_x0000_s1027" style="position:absolute;margin-left:-5.75pt;margin-top:-1.2pt;width:548.4pt;height:762pt;z-index:5" o:allowincell="f" filled="f" strokecolor="blue" strokeweight="7pt"/>
        </w:pict>
      </w:r>
      <w:r>
        <w:rPr>
          <w:noProof/>
          <w:sz w:val="20"/>
        </w:rPr>
        <w:pict w14:anchorId="5B49008E">
          <v:shape id="_x0000_s1031" type="#_x0000_t202" style="position:absolute;margin-left:398.65pt;margin-top:4.8pt;width:138pt;height:54pt;z-index:6" o:allowincell="f" stroked="f">
            <v:textbox style="mso-next-textbox:#_x0000_s1031" inset=",0">
              <w:txbxContent>
                <w:p w14:paraId="1286C137" w14:textId="77777777" w:rsidR="00AC51B2" w:rsidRDefault="00AC51B2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>
        <w:rPr>
          <w:bCs/>
        </w:rPr>
        <w:t>M</w:t>
      </w:r>
      <w:r>
        <w:tab/>
        <w:t xml:space="preserve">Betrieb: </w:t>
      </w:r>
    </w:p>
    <w:p w14:paraId="6D4CFEEB" w14:textId="77777777" w:rsidR="00AC51B2" w:rsidRDefault="00AC51B2">
      <w:r>
        <w:t xml:space="preserve">Bearbeitungsstand: </w:t>
      </w:r>
      <w:r w:rsidR="009B18A7">
        <w:t>09</w:t>
      </w:r>
      <w:r>
        <w:t>/</w:t>
      </w:r>
      <w:r w:rsidR="009B18A7">
        <w:t>23</w:t>
      </w:r>
      <w:r>
        <w:br/>
      </w:r>
    </w:p>
    <w:p w14:paraId="3DDC6F0A" w14:textId="77777777" w:rsidR="00AC51B2" w:rsidRDefault="00AC51B2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AC51B2" w14:paraId="1926135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4C9C9B3D" w14:textId="77777777" w:rsidR="00AC51B2" w:rsidRDefault="00AC51B2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2EFC4D60" w14:textId="77777777" w:rsidR="00AC51B2" w:rsidRDefault="00AC51B2">
            <w:pPr>
              <w:pStyle w:val="berschrift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1. Anwendungsbereich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20312A07" w14:textId="77777777" w:rsidR="00AC51B2" w:rsidRDefault="00AC51B2">
            <w:pPr>
              <w:spacing w:line="360" w:lineRule="atLeast"/>
            </w:pPr>
          </w:p>
        </w:tc>
      </w:tr>
      <w:tr w:rsidR="00AC51B2" w14:paraId="07B3DF0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4C04D9D" w14:textId="77777777" w:rsidR="00AC51B2" w:rsidRDefault="00AC51B2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406E608B" w14:textId="77777777" w:rsidR="00AC51B2" w:rsidRDefault="00AC51B2">
            <w:pPr>
              <w:ind w:left="-52"/>
              <w:rPr>
                <w:sz w:val="16"/>
                <w:szCs w:val="21"/>
              </w:rPr>
            </w:pPr>
          </w:p>
          <w:p w14:paraId="657A8C89" w14:textId="77777777" w:rsidR="00AC51B2" w:rsidRDefault="00AC51B2">
            <w:pPr>
              <w:pStyle w:val="berschrift6"/>
            </w:pPr>
            <w:r>
              <w:t>Laden von Batterien mit Ladegeräten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96E4E05" w14:textId="77777777" w:rsidR="00AC51B2" w:rsidRDefault="00AC51B2">
            <w:pPr>
              <w:spacing w:before="60" w:after="60"/>
              <w:jc w:val="center"/>
            </w:pPr>
          </w:p>
        </w:tc>
      </w:tr>
      <w:tr w:rsidR="00AC51B2" w14:paraId="192CCAF1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1A7FAE6B" w14:textId="77777777" w:rsidR="00AC51B2" w:rsidRDefault="00AC51B2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2F52EC0E" w14:textId="77777777" w:rsidR="00AC51B2" w:rsidRDefault="00AC51B2">
            <w:pPr>
              <w:pStyle w:val="berschrift3"/>
              <w:rPr>
                <w:caps/>
              </w:rPr>
            </w:pPr>
            <w:r>
              <w:rPr>
                <w:caps/>
              </w:rPr>
              <w:t>2. Gefahren für Mensch und Umwelt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1B369CDF" w14:textId="77777777" w:rsidR="00AC51B2" w:rsidRDefault="00AC51B2">
            <w:pPr>
              <w:spacing w:line="360" w:lineRule="atLeast"/>
            </w:pPr>
          </w:p>
        </w:tc>
      </w:tr>
      <w:tr w:rsidR="00AC51B2" w14:paraId="28B1F7D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6722E4E" w14:textId="77777777" w:rsidR="00AC51B2" w:rsidRDefault="00B750AD">
            <w:pPr>
              <w:spacing w:before="60" w:after="60"/>
              <w:jc w:val="center"/>
            </w:pPr>
            <w:r>
              <w:rPr>
                <w:noProof/>
              </w:rPr>
            </w:r>
            <w:r w:rsidR="00B23B84">
              <w:pict w14:anchorId="1ABF8C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0.95pt;height:44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45674D5D" w14:textId="77777777" w:rsidR="00AC51B2" w:rsidRDefault="00B750AD">
            <w:pPr>
              <w:spacing w:before="60" w:after="60"/>
              <w:jc w:val="center"/>
            </w:pPr>
            <w:r>
              <w:rPr>
                <w:noProof/>
              </w:rPr>
            </w:r>
            <w:r w:rsidR="00B23B84">
              <w:pict w14:anchorId="680D6F3A">
                <v:shape id="_x0000_s1033" type="#_x0000_t75" style="width:48.95pt;height:43.0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270FB943" w14:textId="77777777" w:rsidR="00AC51B2" w:rsidRDefault="00AC51B2">
            <w:pPr>
              <w:numPr>
                <w:ilvl w:val="0"/>
                <w:numId w:val="24"/>
              </w:numPr>
              <w:spacing w:before="60"/>
              <w:rPr>
                <w:sz w:val="21"/>
              </w:rPr>
            </w:pPr>
            <w:r>
              <w:rPr>
                <w:sz w:val="21"/>
              </w:rPr>
              <w:t>Elektrische Gefährdung</w:t>
            </w:r>
          </w:p>
          <w:p w14:paraId="2142F5F7" w14:textId="77777777" w:rsidR="00AC51B2" w:rsidRDefault="00AC51B2">
            <w:pPr>
              <w:numPr>
                <w:ilvl w:val="0"/>
                <w:numId w:val="24"/>
              </w:numPr>
              <w:rPr>
                <w:sz w:val="21"/>
              </w:rPr>
            </w:pPr>
            <w:r>
              <w:rPr>
                <w:sz w:val="21"/>
              </w:rPr>
              <w:t>Explosionsg</w:t>
            </w:r>
            <w:r>
              <w:rPr>
                <w:sz w:val="21"/>
              </w:rPr>
              <w:t>e</w:t>
            </w:r>
            <w:r>
              <w:rPr>
                <w:sz w:val="21"/>
              </w:rPr>
              <w:t>fahr (Knallgasbildung)</w:t>
            </w:r>
          </w:p>
          <w:p w14:paraId="20E2C82B" w14:textId="77777777" w:rsidR="00AC51B2" w:rsidRDefault="00AC51B2">
            <w:pPr>
              <w:numPr>
                <w:ilvl w:val="0"/>
                <w:numId w:val="24"/>
              </w:numPr>
              <w:rPr>
                <w:sz w:val="21"/>
              </w:rPr>
            </w:pPr>
            <w:r>
              <w:rPr>
                <w:sz w:val="21"/>
              </w:rPr>
              <w:t>Verätzung durch Batteriesäure</w:t>
            </w:r>
          </w:p>
          <w:p w14:paraId="3725DF61" w14:textId="77777777" w:rsidR="00AC51B2" w:rsidRDefault="00AC51B2">
            <w:pPr>
              <w:numPr>
                <w:ilvl w:val="0"/>
                <w:numId w:val="24"/>
              </w:numPr>
            </w:pPr>
            <w:r>
              <w:rPr>
                <w:sz w:val="21"/>
              </w:rPr>
              <w:t>Herumfliegende Teile beim Platzen der Batterie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2F76A33" w14:textId="77777777" w:rsidR="00AC51B2" w:rsidRDefault="00B750AD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139EFE14">
                <v:shape id="_x0000_s1034" type="#_x0000_t75" style="width:54.45pt;height:47.8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</w:tr>
      <w:tr w:rsidR="00AC51B2" w14:paraId="34A315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E7D3690" w14:textId="77777777" w:rsidR="00AC51B2" w:rsidRDefault="00AC51B2">
            <w:pPr>
              <w:pStyle w:val="berschrift3"/>
              <w:rPr>
                <w:caps/>
              </w:rPr>
            </w:pPr>
            <w:r>
              <w:rPr>
                <w:caps/>
              </w:rPr>
              <w:t>3. Schutzmassnahmen und Verhaltensregeln</w:t>
            </w:r>
          </w:p>
        </w:tc>
      </w:tr>
      <w:tr w:rsidR="00AC51B2" w14:paraId="3B8E45F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F6EF651" w14:textId="77777777" w:rsidR="00AC51B2" w:rsidRDefault="00AC51B2">
            <w:pPr>
              <w:spacing w:before="60" w:after="60"/>
              <w:jc w:val="center"/>
            </w:pPr>
          </w:p>
          <w:p w14:paraId="0EEC8561" w14:textId="77777777" w:rsidR="00AC51B2" w:rsidRDefault="00AC51B2">
            <w:pPr>
              <w:spacing w:before="60" w:after="60"/>
              <w:jc w:val="center"/>
            </w:pPr>
            <w:r>
              <w:pict w14:anchorId="5D2368CA">
                <v:shape id="_x0000_i1028" type="#_x0000_t75" style="width:52.35pt;height:52.35pt">
                  <v:imagedata r:id="rId10" o:title=""/>
                </v:shape>
              </w:pict>
            </w:r>
          </w:p>
          <w:p w14:paraId="22C588C5" w14:textId="77777777" w:rsidR="00AC51B2" w:rsidRDefault="00AC51B2">
            <w:pPr>
              <w:spacing w:before="60" w:after="60"/>
              <w:jc w:val="center"/>
            </w:pPr>
          </w:p>
          <w:p w14:paraId="0F1CBFB1" w14:textId="77777777" w:rsidR="00AC51B2" w:rsidRDefault="00AC51B2">
            <w:pPr>
              <w:spacing w:before="60" w:after="60"/>
              <w:jc w:val="center"/>
            </w:pPr>
            <w:r>
              <w:pict w14:anchorId="32780019">
                <v:shape id="_x0000_i1029" type="#_x0000_t75" style="width:52.35pt;height:52.35pt">
                  <v:imagedata r:id="rId11" o:title=""/>
                </v:shape>
              </w:pict>
            </w:r>
          </w:p>
          <w:p w14:paraId="5CF29FC6" w14:textId="77777777" w:rsidR="00AC51B2" w:rsidRDefault="00AC51B2">
            <w:pPr>
              <w:spacing w:before="60" w:after="60"/>
              <w:jc w:val="center"/>
            </w:pPr>
          </w:p>
          <w:p w14:paraId="62E84ACA" w14:textId="77777777" w:rsidR="00AC51B2" w:rsidRDefault="00AC51B2">
            <w:pPr>
              <w:spacing w:before="60" w:after="60"/>
              <w:jc w:val="center"/>
            </w:pPr>
            <w:r>
              <w:pict w14:anchorId="40A89C71">
                <v:shape id="_x0000_i1030" type="#_x0000_t75" style="width:53.3pt;height:52.35pt">
                  <v:imagedata r:id="rId12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048A1BC0" w14:textId="77777777" w:rsidR="00AC51B2" w:rsidRDefault="00AC51B2">
            <w:pPr>
              <w:numPr>
                <w:ilvl w:val="0"/>
                <w:numId w:val="26"/>
              </w:numPr>
              <w:rPr>
                <w:sz w:val="21"/>
              </w:rPr>
            </w:pPr>
            <w:r>
              <w:rPr>
                <w:b/>
                <w:sz w:val="21"/>
              </w:rPr>
              <w:t>Bestimmungsgemäß verwenden und Betriebsanleitung des Herstellers beac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ten.</w:t>
            </w:r>
          </w:p>
          <w:p w14:paraId="41574B99" w14:textId="77777777" w:rsidR="00AC51B2" w:rsidRDefault="00AC51B2">
            <w:pPr>
              <w:numPr>
                <w:ilvl w:val="0"/>
                <w:numId w:val="25"/>
              </w:numPr>
              <w:spacing w:before="60"/>
              <w:rPr>
                <w:sz w:val="21"/>
              </w:rPr>
            </w:pPr>
            <w:r>
              <w:rPr>
                <w:sz w:val="21"/>
              </w:rPr>
              <w:t xml:space="preserve">Angaben zu Ladespannung und Ladestrom der Batterie beachten. </w:t>
            </w:r>
          </w:p>
          <w:p w14:paraId="4CFC04EC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 xml:space="preserve">Abstand zu brennbaren Materialien mindestens 2,50 m. </w:t>
            </w:r>
          </w:p>
          <w:p w14:paraId="7B55B17D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Abstand zu feuer- und explosionsgefährdeten Bereichen mindestens 5 m.</w:t>
            </w:r>
          </w:p>
          <w:p w14:paraId="21870DDC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Nicht in frostgefährdeten Bereichen laden.</w:t>
            </w:r>
          </w:p>
          <w:p w14:paraId="552B77BA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Abstand Ladegeräte zur ladenden Batterie mi</w:t>
            </w:r>
            <w:r>
              <w:rPr>
                <w:sz w:val="21"/>
              </w:rPr>
              <w:t>n</w:t>
            </w:r>
            <w:r>
              <w:rPr>
                <w:sz w:val="21"/>
              </w:rPr>
              <w:t>destens 1 m.</w:t>
            </w:r>
          </w:p>
          <w:p w14:paraId="7F9D0D5B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Für ausreichende Be- und Entlüftung sorgen.</w:t>
            </w:r>
          </w:p>
          <w:p w14:paraId="471666C0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Rauchen, Feuer und offenes Licht verboten und Funkenbildung ve</w:t>
            </w:r>
            <w:r>
              <w:rPr>
                <w:sz w:val="21"/>
              </w:rPr>
              <w:t>r</w:t>
            </w:r>
            <w:r>
              <w:rPr>
                <w:sz w:val="21"/>
              </w:rPr>
              <w:t>meiden.</w:t>
            </w:r>
          </w:p>
          <w:p w14:paraId="4170B5FB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Batterien an- oder abklemmen, wenn kein Strom fließt.</w:t>
            </w:r>
          </w:p>
          <w:p w14:paraId="1C023D0C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Auf Polarität achten.</w:t>
            </w:r>
          </w:p>
          <w:p w14:paraId="1CECA730" w14:textId="77777777" w:rsidR="00AC51B2" w:rsidRDefault="00AC51B2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sz w:val="21"/>
              </w:rPr>
            </w:pPr>
            <w:r>
              <w:rPr>
                <w:sz w:val="21"/>
              </w:rPr>
              <w:t xml:space="preserve">Anschlüsse fest montieren. </w:t>
            </w:r>
          </w:p>
          <w:p w14:paraId="3DD6AE42" w14:textId="77777777" w:rsidR="00AC51B2" w:rsidRDefault="00AC51B2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i/>
                <w:color w:val="FF0000"/>
                <w:sz w:val="21"/>
              </w:rPr>
            </w:pPr>
            <w:r>
              <w:rPr>
                <w:sz w:val="21"/>
              </w:rPr>
              <w:t>Auf richtige Arbeitsreihenfolge beim Ein- und Ausbau, sowie beim Ankle</w:t>
            </w:r>
            <w:r>
              <w:rPr>
                <w:sz w:val="21"/>
              </w:rPr>
              <w:t>m</w:t>
            </w:r>
            <w:r>
              <w:rPr>
                <w:sz w:val="21"/>
              </w:rPr>
              <w:t>men an das Lad</w:t>
            </w:r>
            <w:r>
              <w:rPr>
                <w:sz w:val="21"/>
              </w:rPr>
              <w:t>e</w:t>
            </w:r>
            <w:r>
              <w:rPr>
                <w:sz w:val="21"/>
              </w:rPr>
              <w:t>gerät achten.</w:t>
            </w:r>
          </w:p>
          <w:p w14:paraId="6FE8014D" w14:textId="77777777" w:rsidR="00AC51B2" w:rsidRDefault="00AC51B2">
            <w:pPr>
              <w:numPr>
                <w:ilvl w:val="0"/>
                <w:numId w:val="25"/>
              </w:numPr>
              <w:rPr>
                <w:sz w:val="21"/>
              </w:rPr>
            </w:pPr>
            <w:r>
              <w:rPr>
                <w:sz w:val="21"/>
              </w:rPr>
              <w:t>Beim Umgang mit Batterien säurefesten Gesichtsschutz, Schürze, Schutzhandsch</w:t>
            </w:r>
            <w:r>
              <w:rPr>
                <w:sz w:val="21"/>
              </w:rPr>
              <w:t>u</w:t>
            </w:r>
            <w:r>
              <w:rPr>
                <w:sz w:val="21"/>
              </w:rPr>
              <w:t>he, Sicherheitsschuhe tragen.</w:t>
            </w:r>
          </w:p>
          <w:p w14:paraId="3286D352" w14:textId="77777777" w:rsidR="009B18A7" w:rsidRDefault="00AC51B2" w:rsidP="009B18A7">
            <w:pPr>
              <w:numPr>
                <w:ilvl w:val="0"/>
                <w:numId w:val="25"/>
              </w:numPr>
            </w:pPr>
            <w:r>
              <w:rPr>
                <w:sz w:val="21"/>
              </w:rPr>
              <w:t xml:space="preserve">Betriebsanweisung für Gefahrstoff </w:t>
            </w:r>
            <w:r>
              <w:rPr>
                <w:b/>
                <w:sz w:val="21"/>
                <w:u w:val="single"/>
              </w:rPr>
              <w:t>„Batteriesäure“</w:t>
            </w:r>
            <w:r>
              <w:rPr>
                <w:sz w:val="21"/>
              </w:rPr>
              <w:t xml:space="preserve"> beac</w:t>
            </w:r>
            <w:r>
              <w:rPr>
                <w:sz w:val="21"/>
              </w:rPr>
              <w:t>h</w:t>
            </w:r>
            <w:r>
              <w:rPr>
                <w:sz w:val="21"/>
              </w:rPr>
              <w:t>ten.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965BD70" w14:textId="77777777" w:rsidR="00AC51B2" w:rsidRDefault="00AC51B2">
            <w:pPr>
              <w:spacing w:before="60" w:after="60"/>
              <w:jc w:val="center"/>
            </w:pPr>
          </w:p>
          <w:p w14:paraId="4F216AEC" w14:textId="77777777" w:rsidR="00AC51B2" w:rsidRDefault="00B23B84">
            <w:pPr>
              <w:spacing w:before="60" w:after="60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1F868155">
                <v:shape id="Grafik 2" o:spid="_x0000_i1031" type="#_x0000_t75" style="width:49.55pt;height:49.55pt;visibility:visible">
                  <v:imagedata r:id="rId13" o:title=""/>
                </v:shape>
              </w:pict>
            </w:r>
          </w:p>
          <w:p w14:paraId="500FB5AD" w14:textId="77777777" w:rsidR="00AC51B2" w:rsidRDefault="00AC51B2">
            <w:pPr>
              <w:spacing w:before="60" w:after="60"/>
              <w:jc w:val="center"/>
              <w:rPr>
                <w:sz w:val="12"/>
              </w:rPr>
            </w:pPr>
          </w:p>
          <w:p w14:paraId="05B994CE" w14:textId="77777777" w:rsidR="00AC51B2" w:rsidRDefault="00B23B84">
            <w:pPr>
              <w:spacing w:before="60" w:after="60"/>
              <w:jc w:val="center"/>
            </w:pPr>
            <w:r w:rsidRPr="00EC31E5">
              <w:rPr>
                <w:noProof/>
              </w:rPr>
              <w:pict w14:anchorId="061C4B09">
                <v:shape id="Grafik 32" o:spid="_x0000_i1032" type="#_x0000_t75" style="width:49.55pt;height:49.55pt;visibility:visible">
                  <v:imagedata r:id="rId14" o:title=""/>
                </v:shape>
              </w:pict>
            </w:r>
          </w:p>
        </w:tc>
      </w:tr>
      <w:tr w:rsidR="00AC51B2" w14:paraId="3C093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C1F68ED" w14:textId="77777777" w:rsidR="009B18A7" w:rsidRPr="009B18A7" w:rsidRDefault="00AC51B2" w:rsidP="009B18A7">
            <w:pPr>
              <w:pStyle w:val="berschrift3"/>
              <w:rPr>
                <w:caps/>
              </w:rPr>
            </w:pPr>
            <w:r>
              <w:rPr>
                <w:caps/>
              </w:rPr>
              <w:t>4. Verhalten bei Störungen</w:t>
            </w:r>
          </w:p>
        </w:tc>
      </w:tr>
      <w:tr w:rsidR="00AC51B2" w14:paraId="6E16DCC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8571EF6" w14:textId="77777777" w:rsidR="00AC51B2" w:rsidRDefault="00B23B84">
            <w:pPr>
              <w:spacing w:before="60" w:after="60"/>
              <w:jc w:val="center"/>
            </w:pPr>
            <w:r w:rsidRPr="00EC31E5">
              <w:rPr>
                <w:noProof/>
              </w:rPr>
              <w:pict w14:anchorId="067751BE">
                <v:shape id="Grafik 6" o:spid="_x0000_i1033" type="#_x0000_t75" style="width:48.6pt;height:48.6pt;visibility:visible">
                  <v:imagedata r:id="rId15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514B8F92" w14:textId="77777777" w:rsidR="00AC51B2" w:rsidRDefault="00AC51B2">
            <w:pPr>
              <w:pStyle w:val="Kopfzeile"/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4"/>
              </w:rPr>
            </w:pPr>
            <w:r>
              <w:rPr>
                <w:sz w:val="22"/>
                <w:szCs w:val="24"/>
              </w:rPr>
              <w:t>Bei Störungen Ladevorgang abbrechen, Gerät abschalten und Vorgesetzten ve</w:t>
            </w:r>
            <w:r>
              <w:rPr>
                <w:sz w:val="22"/>
                <w:szCs w:val="24"/>
              </w:rPr>
              <w:t>r</w:t>
            </w:r>
            <w:r>
              <w:rPr>
                <w:sz w:val="22"/>
                <w:szCs w:val="24"/>
              </w:rPr>
              <w:t>ständigen.</w:t>
            </w:r>
          </w:p>
          <w:p w14:paraId="5ACFA376" w14:textId="77777777" w:rsidR="00AC51B2" w:rsidRDefault="00AC51B2">
            <w:pPr>
              <w:pStyle w:val="Kopfzeile"/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4"/>
              </w:rPr>
            </w:pPr>
            <w:r>
              <w:rPr>
                <w:sz w:val="22"/>
              </w:rPr>
              <w:t>Bei Feuer Pulverlöscher</w:t>
            </w:r>
            <w:r w:rsidR="009B18A7">
              <w:rPr>
                <w:sz w:val="22"/>
              </w:rPr>
              <w:t>, Schaumlöscher oder Dioxidlösche</w:t>
            </w:r>
            <w:r>
              <w:rPr>
                <w:sz w:val="22"/>
              </w:rPr>
              <w:t xml:space="preserve"> benutzen. </w:t>
            </w:r>
            <w:r>
              <w:rPr>
                <w:b/>
                <w:sz w:val="22"/>
              </w:rPr>
              <w:t>Kein Wa</w:t>
            </w:r>
            <w:r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ser!</w:t>
            </w:r>
          </w:p>
          <w:p w14:paraId="6ABED462" w14:textId="77777777" w:rsidR="00AC51B2" w:rsidRDefault="00AC51B2"/>
        </w:tc>
        <w:tc>
          <w:tcPr>
            <w:tcW w:w="1203" w:type="dxa"/>
            <w:tcBorders>
              <w:bottom w:val="single" w:sz="4" w:space="0" w:color="auto"/>
            </w:tcBorders>
          </w:tcPr>
          <w:p w14:paraId="35E6B0BC" w14:textId="77777777" w:rsidR="00AC51B2" w:rsidRDefault="00AC51B2">
            <w:pPr>
              <w:spacing w:before="60" w:after="60"/>
              <w:jc w:val="center"/>
            </w:pPr>
          </w:p>
        </w:tc>
      </w:tr>
      <w:tr w:rsidR="00AC51B2" w14:paraId="73B8D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E21DA18" w14:textId="77777777" w:rsidR="00AC51B2" w:rsidRDefault="00AC51B2">
            <w:pPr>
              <w:pStyle w:val="berschrift3"/>
              <w:rPr>
                <w:caps/>
              </w:rPr>
            </w:pPr>
            <w:r>
              <w:rPr>
                <w:caps/>
              </w:rPr>
              <w:t>5. Erste Hilfe</w:t>
            </w:r>
          </w:p>
        </w:tc>
      </w:tr>
      <w:tr w:rsidR="00AC51B2" w14:paraId="7DD26157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5027DD4" w14:textId="77777777" w:rsidR="00AC51B2" w:rsidRDefault="00B23B84">
            <w:pPr>
              <w:spacing w:before="60" w:after="60"/>
              <w:jc w:val="center"/>
            </w:pPr>
            <w:r>
              <w:pict w14:anchorId="2A87A5B7">
                <v:shape id="_x0000_i1034" type="#_x0000_t75" style="width:51.45pt;height:51.45pt">
                  <v:imagedata r:id="rId16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1BA1DB80" w14:textId="77777777" w:rsidR="00AC51B2" w:rsidRDefault="00AC51B2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4"/>
              </w:rPr>
            </w:pPr>
            <w:r>
              <w:rPr>
                <w:snapToGrid w:val="0"/>
                <w:sz w:val="21"/>
                <w:szCs w:val="24"/>
              </w:rPr>
              <w:t>Ersthelfer heranziehen</w:t>
            </w:r>
          </w:p>
          <w:p w14:paraId="2B6E7ACB" w14:textId="77777777" w:rsidR="00AC51B2" w:rsidRDefault="00AC51B2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4"/>
              </w:rPr>
            </w:pPr>
            <w:r>
              <w:rPr>
                <w:snapToGrid w:val="0"/>
                <w:sz w:val="21"/>
                <w:szCs w:val="24"/>
              </w:rPr>
              <w:t xml:space="preserve">Notruf: </w:t>
            </w:r>
            <w:r>
              <w:rPr>
                <w:b/>
                <w:snapToGrid w:val="0"/>
                <w:sz w:val="21"/>
                <w:szCs w:val="24"/>
              </w:rPr>
              <w:t>112</w:t>
            </w:r>
          </w:p>
          <w:p w14:paraId="4869878D" w14:textId="77777777" w:rsidR="00AC51B2" w:rsidRDefault="00AC51B2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4"/>
              </w:rPr>
            </w:pPr>
            <w:r>
              <w:rPr>
                <w:snapToGrid w:val="0"/>
                <w:sz w:val="21"/>
                <w:szCs w:val="24"/>
              </w:rPr>
              <w:t>Unfall melden</w:t>
            </w:r>
          </w:p>
          <w:p w14:paraId="138202D8" w14:textId="77777777" w:rsidR="00AC51B2" w:rsidRDefault="00AC51B2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4"/>
              </w:rPr>
            </w:pPr>
            <w:r>
              <w:rPr>
                <w:snapToGrid w:val="0"/>
                <w:sz w:val="21"/>
                <w:szCs w:val="24"/>
              </w:rPr>
              <w:t>Durchgeführte Erste – Hilfe – Leistungen immer im Verbandsbuch ei</w:t>
            </w:r>
            <w:r>
              <w:rPr>
                <w:snapToGrid w:val="0"/>
                <w:sz w:val="21"/>
                <w:szCs w:val="24"/>
              </w:rPr>
              <w:t>n</w:t>
            </w:r>
            <w:r>
              <w:rPr>
                <w:snapToGrid w:val="0"/>
                <w:sz w:val="21"/>
                <w:szCs w:val="24"/>
              </w:rPr>
              <w:t>tragen.</w:t>
            </w:r>
          </w:p>
          <w:p w14:paraId="7DB3CB0B" w14:textId="77777777" w:rsidR="00AC51B2" w:rsidRDefault="00AC51B2"/>
        </w:tc>
        <w:tc>
          <w:tcPr>
            <w:tcW w:w="1203" w:type="dxa"/>
            <w:tcBorders>
              <w:bottom w:val="single" w:sz="4" w:space="0" w:color="auto"/>
            </w:tcBorders>
          </w:tcPr>
          <w:p w14:paraId="75815623" w14:textId="77777777" w:rsidR="00AC51B2" w:rsidRDefault="00AC51B2">
            <w:pPr>
              <w:spacing w:before="60" w:after="60"/>
              <w:jc w:val="center"/>
            </w:pPr>
          </w:p>
        </w:tc>
      </w:tr>
      <w:tr w:rsidR="00AC51B2" w14:paraId="4B71C8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AED44B7" w14:textId="77777777" w:rsidR="00AC51B2" w:rsidRDefault="00AC51B2">
            <w:pPr>
              <w:pStyle w:val="berschrift3"/>
              <w:tabs>
                <w:tab w:val="left" w:pos="1440"/>
                <w:tab w:val="center" w:pos="5386"/>
              </w:tabs>
              <w:rPr>
                <w:caps/>
              </w:rPr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AC51B2" w14:paraId="1633611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7284355" w14:textId="77777777" w:rsidR="00AC51B2" w:rsidRDefault="00AC51B2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0EABF9DC" w14:textId="77777777" w:rsidR="00AC51B2" w:rsidRDefault="00AC51B2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4"/>
              </w:rPr>
            </w:pPr>
            <w:r>
              <w:rPr>
                <w:snapToGrid w:val="0"/>
                <w:sz w:val="21"/>
                <w:szCs w:val="24"/>
              </w:rPr>
              <w:t xml:space="preserve">Instandhaltung (Wartung, Reparatur) </w:t>
            </w:r>
            <w:r>
              <w:rPr>
                <w:snapToGrid w:val="0"/>
                <w:sz w:val="21"/>
                <w:szCs w:val="24"/>
                <w:u w:val="single"/>
              </w:rPr>
              <w:t>nur von qualifizierten und beauftragten Pers</w:t>
            </w:r>
            <w:r>
              <w:rPr>
                <w:snapToGrid w:val="0"/>
                <w:sz w:val="21"/>
                <w:szCs w:val="24"/>
                <w:u w:val="single"/>
              </w:rPr>
              <w:t>o</w:t>
            </w:r>
            <w:r>
              <w:rPr>
                <w:snapToGrid w:val="0"/>
                <w:sz w:val="21"/>
                <w:szCs w:val="24"/>
                <w:u w:val="single"/>
              </w:rPr>
              <w:t>nen</w:t>
            </w:r>
            <w:r>
              <w:rPr>
                <w:snapToGrid w:val="0"/>
                <w:sz w:val="21"/>
                <w:szCs w:val="24"/>
              </w:rPr>
              <w:t xml:space="preserve"> durc</w:t>
            </w:r>
            <w:r>
              <w:rPr>
                <w:snapToGrid w:val="0"/>
                <w:sz w:val="21"/>
                <w:szCs w:val="24"/>
              </w:rPr>
              <w:t>h</w:t>
            </w:r>
            <w:r>
              <w:rPr>
                <w:snapToGrid w:val="0"/>
                <w:sz w:val="21"/>
                <w:szCs w:val="24"/>
              </w:rPr>
              <w:t>führen lassen.</w:t>
            </w:r>
          </w:p>
          <w:p w14:paraId="769D2890" w14:textId="77777777" w:rsidR="00AC51B2" w:rsidRDefault="00AC51B2">
            <w:pPr>
              <w:pStyle w:val="Kopfzeile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</w:pPr>
            <w:r>
              <w:rPr>
                <w:snapToGrid w:val="0"/>
                <w:sz w:val="21"/>
              </w:rPr>
              <w:t xml:space="preserve">Regelmäßige Prüfungen (z.B. elektrisch, mechanisch) durch </w:t>
            </w:r>
            <w:r>
              <w:rPr>
                <w:snapToGrid w:val="0"/>
                <w:sz w:val="21"/>
                <w:u w:val="single"/>
              </w:rPr>
              <w:t>befähigte Pe</w:t>
            </w:r>
            <w:r>
              <w:rPr>
                <w:snapToGrid w:val="0"/>
                <w:sz w:val="21"/>
                <w:u w:val="single"/>
              </w:rPr>
              <w:t>r</w:t>
            </w:r>
            <w:r>
              <w:rPr>
                <w:snapToGrid w:val="0"/>
                <w:sz w:val="21"/>
                <w:u w:val="single"/>
              </w:rPr>
              <w:t>sonen</w:t>
            </w:r>
            <w:r>
              <w:rPr>
                <w:snapToGrid w:val="0"/>
                <w:sz w:val="21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62A0CA2" w14:textId="77777777" w:rsidR="00AC51B2" w:rsidRDefault="00AC51B2">
            <w:pPr>
              <w:spacing w:before="60" w:after="60"/>
              <w:jc w:val="center"/>
            </w:pPr>
          </w:p>
        </w:tc>
      </w:tr>
    </w:tbl>
    <w:p w14:paraId="4C219390" w14:textId="77777777" w:rsidR="00AC51B2" w:rsidRDefault="00AC51B2">
      <w:pPr>
        <w:spacing w:before="60" w:after="60"/>
        <w:rPr>
          <w:sz w:val="20"/>
        </w:rPr>
      </w:pPr>
      <w:r>
        <w:rPr>
          <w:sz w:val="20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AC51B2" w14:paraId="58E6334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F26E915" w14:textId="77777777" w:rsidR="00AC51B2" w:rsidRDefault="00AC51B2">
            <w:pPr>
              <w:rPr>
                <w:sz w:val="20"/>
              </w:rPr>
            </w:pPr>
            <w:r>
              <w:rPr>
                <w:sz w:val="20"/>
              </w:rPr>
              <w:t xml:space="preserve"> Nächster</w:t>
            </w:r>
          </w:p>
          <w:p w14:paraId="52C8A870" w14:textId="77777777" w:rsidR="00AC51B2" w:rsidRDefault="00AC51B2">
            <w:pPr>
              <w:rPr>
                <w:sz w:val="20"/>
              </w:rPr>
            </w:pPr>
            <w:r>
              <w:rPr>
                <w:sz w:val="20"/>
              </w:rPr>
              <w:t xml:space="preserve"> Überprüfungstermin:</w:t>
            </w:r>
          </w:p>
        </w:tc>
        <w:tc>
          <w:tcPr>
            <w:tcW w:w="5701" w:type="dxa"/>
          </w:tcPr>
          <w:p w14:paraId="76F2BA69" w14:textId="77777777" w:rsidR="00AC51B2" w:rsidRDefault="00AC51B2">
            <w:pPr>
              <w:rPr>
                <w:sz w:val="20"/>
              </w:rPr>
            </w:pPr>
            <w:r>
              <w:rPr>
                <w:sz w:val="20"/>
              </w:rPr>
              <w:t>Unterschrift:</w:t>
            </w:r>
            <w:r>
              <w:rPr>
                <w:sz w:val="20"/>
              </w:rPr>
              <w:br/>
              <w:t>Unterne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mer/Geschäftsleitung</w:t>
            </w:r>
          </w:p>
        </w:tc>
      </w:tr>
    </w:tbl>
    <w:p w14:paraId="124ACCD8" w14:textId="77777777" w:rsidR="003013F4" w:rsidRDefault="003013F4"/>
    <w:sectPr w:rsidR="003013F4">
      <w:footerReference w:type="default" r:id="rId17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353ED" w14:textId="77777777" w:rsidR="00315834" w:rsidRDefault="00315834">
      <w:r>
        <w:separator/>
      </w:r>
    </w:p>
  </w:endnote>
  <w:endnote w:type="continuationSeparator" w:id="0">
    <w:p w14:paraId="158883D9" w14:textId="77777777" w:rsidR="00315834" w:rsidRDefault="0031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6ACC" w14:textId="77777777" w:rsidR="00AC51B2" w:rsidRDefault="00AC51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25EA" w14:textId="77777777" w:rsidR="00315834" w:rsidRDefault="00315834">
      <w:r>
        <w:separator/>
      </w:r>
    </w:p>
  </w:footnote>
  <w:footnote w:type="continuationSeparator" w:id="0">
    <w:p w14:paraId="5AE4E0CA" w14:textId="77777777" w:rsidR="00315834" w:rsidRDefault="0031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B6054"/>
    <w:multiLevelType w:val="hybridMultilevel"/>
    <w:tmpl w:val="65CA4EE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F7760B"/>
    <w:multiLevelType w:val="hybridMultilevel"/>
    <w:tmpl w:val="B25CF8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013A41"/>
    <w:multiLevelType w:val="hybridMultilevel"/>
    <w:tmpl w:val="E9B2E3A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870559">
    <w:abstractNumId w:val="15"/>
  </w:num>
  <w:num w:numId="2" w16cid:durableId="1380546748">
    <w:abstractNumId w:val="18"/>
  </w:num>
  <w:num w:numId="3" w16cid:durableId="319893461">
    <w:abstractNumId w:val="17"/>
  </w:num>
  <w:num w:numId="4" w16cid:durableId="779640085">
    <w:abstractNumId w:val="28"/>
  </w:num>
  <w:num w:numId="5" w16cid:durableId="669212233">
    <w:abstractNumId w:val="26"/>
  </w:num>
  <w:num w:numId="6" w16cid:durableId="1781804309">
    <w:abstractNumId w:val="16"/>
  </w:num>
  <w:num w:numId="7" w16cid:durableId="847214719">
    <w:abstractNumId w:val="10"/>
  </w:num>
  <w:num w:numId="8" w16cid:durableId="2145543550">
    <w:abstractNumId w:val="20"/>
  </w:num>
  <w:num w:numId="9" w16cid:durableId="14671197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0834689">
    <w:abstractNumId w:val="25"/>
  </w:num>
  <w:num w:numId="11" w16cid:durableId="1860121947">
    <w:abstractNumId w:val="21"/>
  </w:num>
  <w:num w:numId="12" w16cid:durableId="615218974">
    <w:abstractNumId w:val="11"/>
  </w:num>
  <w:num w:numId="13" w16cid:durableId="1672953074">
    <w:abstractNumId w:val="9"/>
  </w:num>
  <w:num w:numId="14" w16cid:durableId="1221140023">
    <w:abstractNumId w:val="7"/>
  </w:num>
  <w:num w:numId="15" w16cid:durableId="1400833368">
    <w:abstractNumId w:val="6"/>
  </w:num>
  <w:num w:numId="16" w16cid:durableId="526022431">
    <w:abstractNumId w:val="5"/>
  </w:num>
  <w:num w:numId="17" w16cid:durableId="846214195">
    <w:abstractNumId w:val="4"/>
  </w:num>
  <w:num w:numId="18" w16cid:durableId="1087310919">
    <w:abstractNumId w:val="8"/>
  </w:num>
  <w:num w:numId="19" w16cid:durableId="858391393">
    <w:abstractNumId w:val="3"/>
  </w:num>
  <w:num w:numId="20" w16cid:durableId="1604729819">
    <w:abstractNumId w:val="2"/>
  </w:num>
  <w:num w:numId="21" w16cid:durableId="294601731">
    <w:abstractNumId w:val="1"/>
  </w:num>
  <w:num w:numId="22" w16cid:durableId="1840732759">
    <w:abstractNumId w:val="0"/>
  </w:num>
  <w:num w:numId="23" w16cid:durableId="52389130">
    <w:abstractNumId w:val="24"/>
  </w:num>
  <w:num w:numId="24" w16cid:durableId="2068064451">
    <w:abstractNumId w:val="12"/>
  </w:num>
  <w:num w:numId="25" w16cid:durableId="220335605">
    <w:abstractNumId w:val="19"/>
  </w:num>
  <w:num w:numId="26" w16cid:durableId="800807884">
    <w:abstractNumId w:val="27"/>
  </w:num>
  <w:num w:numId="27" w16cid:durableId="1621650244">
    <w:abstractNumId w:val="23"/>
  </w:num>
  <w:num w:numId="28" w16cid:durableId="1274551081">
    <w:abstractNumId w:val="14"/>
  </w:num>
  <w:num w:numId="29" w16cid:durableId="5335421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8A7"/>
    <w:rsid w:val="00174529"/>
    <w:rsid w:val="003013F4"/>
    <w:rsid w:val="00315834"/>
    <w:rsid w:val="009B18A7"/>
    <w:rsid w:val="00AC51B2"/>
    <w:rsid w:val="00B23B84"/>
    <w:rsid w:val="00B37AD8"/>
    <w:rsid w:val="00B7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27DBF5E"/>
  <w15:chartTrackingRefBased/>
  <w15:docId w15:val="{8907E756-55E2-4A1A-98CA-3806B52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paragraph" w:styleId="berschrift6">
    <w:name w:val="heading 6"/>
    <w:basedOn w:val="Standard"/>
    <w:next w:val="Standard"/>
    <w:qFormat/>
    <w:pPr>
      <w:keepNext/>
      <w:ind w:left="-52"/>
      <w:jc w:val="center"/>
      <w:outlineLvl w:val="5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cp:lastModifiedBy>Melanie Fiebiger</cp:lastModifiedBy>
  <cp:revision>2</cp:revision>
  <cp:lastPrinted>2003-04-15T14:10:00Z</cp:lastPrinted>
  <dcterms:created xsi:type="dcterms:W3CDTF">2024-03-26T17:15:00Z</dcterms:created>
  <dcterms:modified xsi:type="dcterms:W3CDTF">2024-03-26T17:15:00Z</dcterms:modified>
</cp:coreProperties>
</file>