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4EE63" w14:textId="77777777" w:rsidR="0080291D" w:rsidRDefault="0080291D">
      <w:pPr>
        <w:tabs>
          <w:tab w:val="left" w:pos="7088"/>
        </w:tabs>
        <w:spacing w:line="360" w:lineRule="atLeast"/>
        <w:rPr>
          <w:szCs w:val="24"/>
        </w:rPr>
      </w:pPr>
      <w:r>
        <w:rPr>
          <w:noProof/>
          <w:szCs w:val="24"/>
        </w:rPr>
        <w:pict w14:anchorId="5F7342B2">
          <v:rect id="_x0000_s1049" style="position:absolute;margin-left:-5.75pt;margin-top:-1.2pt;width:548.4pt;height:721.05pt;z-index:7" o:allowincell="f" filled="f" strokecolor="fuchsia" strokeweight="7pt"/>
        </w:pict>
      </w:r>
      <w:r>
        <w:rPr>
          <w:noProof/>
          <w:szCs w:val="24"/>
        </w:rPr>
        <w:pict w14:anchorId="63D28D8A">
          <v:rect id="_x0000_s1048" style="position:absolute;margin-left:184.9pt;margin-top:1.05pt;width:177.75pt;height:46.8pt;z-index:6" o:allowincell="f" filled="f" stroked="f" strokeweight="0">
            <v:textbox style="mso-next-textbox:#_x0000_s1048" inset="0,0,0,0">
              <w:txbxContent>
                <w:p w14:paraId="5B2F70DC" w14:textId="77777777" w:rsidR="0080291D" w:rsidRDefault="0080291D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6099FA8" w14:textId="77777777" w:rsidR="0080291D" w:rsidRDefault="008029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Umgang mit begasten </w:t>
                  </w:r>
                  <w:r>
                    <w:rPr>
                      <w:b/>
                    </w:rPr>
                    <w:br/>
                    <w:t>Transpor</w:t>
                  </w:r>
                  <w:r>
                    <w:rPr>
                      <w:b/>
                    </w:rPr>
                    <w:t>t</w:t>
                  </w:r>
                  <w:r>
                    <w:rPr>
                      <w:b/>
                    </w:rPr>
                    <w:t>containern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1F8CD009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8.75pt;margin-top:4.8pt;width:107.9pt;height:54pt;z-index:1" o:allowincell="f" stroked="f">
            <v:textbox style="mso-next-textbox:#_x0000_s1031" inset=",0">
              <w:txbxContent>
                <w:p w14:paraId="5754705A" w14:textId="77777777" w:rsidR="0080291D" w:rsidRDefault="0080291D"/>
              </w:txbxContent>
            </v:textbox>
          </v:shape>
        </w:pict>
      </w:r>
      <w:r>
        <w:rPr>
          <w:noProof/>
          <w:szCs w:val="24"/>
        </w:rPr>
        <w:pict w14:anchorId="7815A822">
          <v:rect id="_x0000_s1050" style="position:absolute;margin-left:398.65pt;margin-top:4.8pt;width:138pt;height:31.7pt;z-index:8" o:allowincell="f" stroked="f" strokeweight="0">
            <v:textbox style="mso-next-textbox:#_x0000_s1050" inset="0,0,0,0">
              <w:txbxContent>
                <w:p w14:paraId="57DC6020" w14:textId="77777777" w:rsidR="0080291D" w:rsidRDefault="0080291D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rect>
        </w:pict>
      </w:r>
      <w:r>
        <w:rPr>
          <w:szCs w:val="24"/>
        </w:rPr>
        <w:t>Nummer: O2-08</w:t>
      </w:r>
      <w:r>
        <w:rPr>
          <w:szCs w:val="24"/>
        </w:rPr>
        <w:tab/>
        <w:t xml:space="preserve">Betrieb: </w:t>
      </w:r>
    </w:p>
    <w:p w14:paraId="663A48A5" w14:textId="77777777" w:rsidR="0080291D" w:rsidRDefault="0080291D">
      <w:pPr>
        <w:rPr>
          <w:szCs w:val="24"/>
        </w:rPr>
      </w:pPr>
      <w:r>
        <w:rPr>
          <w:szCs w:val="24"/>
        </w:rPr>
        <w:t>Bearbeitungsstand: 1</w:t>
      </w:r>
      <w:r w:rsidR="00EF21EE">
        <w:rPr>
          <w:szCs w:val="24"/>
        </w:rPr>
        <w:t>0</w:t>
      </w:r>
      <w:r>
        <w:rPr>
          <w:szCs w:val="24"/>
        </w:rPr>
        <w:t>/</w:t>
      </w:r>
      <w:r w:rsidR="00EF21EE">
        <w:rPr>
          <w:szCs w:val="24"/>
        </w:rPr>
        <w:t>23</w:t>
      </w:r>
    </w:p>
    <w:p w14:paraId="6501C55F" w14:textId="77777777" w:rsidR="0080291D" w:rsidRDefault="0080291D">
      <w:pPr>
        <w:rPr>
          <w:sz w:val="22"/>
          <w:szCs w:val="22"/>
        </w:rPr>
      </w:pPr>
    </w:p>
    <w:p w14:paraId="0FFDA8C7" w14:textId="77777777" w:rsidR="0080291D" w:rsidRDefault="0080291D">
      <w:pPr>
        <w:rPr>
          <w:b/>
          <w:i/>
          <w:color w:val="FF0000"/>
          <w:szCs w:val="24"/>
        </w:rPr>
      </w:pPr>
      <w:r>
        <w:rPr>
          <w:szCs w:val="24"/>
        </w:rPr>
        <w:t xml:space="preserve">Arbeitsplatz/Tätigkeitsbereich: </w:t>
      </w:r>
      <w:r>
        <w:rPr>
          <w:b/>
          <w:i/>
          <w:color w:val="FF0000"/>
          <w:szCs w:val="24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80291D" w14:paraId="42EF2143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FF00FF"/>
          </w:tcPr>
          <w:p w14:paraId="114096EA" w14:textId="77777777" w:rsidR="0080291D" w:rsidRDefault="0080291D">
            <w:pPr>
              <w:spacing w:line="360" w:lineRule="atLeast"/>
            </w:pPr>
            <w:r>
              <w:rPr>
                <w:noProof/>
              </w:rPr>
              <w:pict w14:anchorId="71E00966">
                <v:shape id="_x0000_s1035" type="#_x0000_t202" style="position:absolute;margin-left:.5pt;margin-top:6.25pt;width:535.75pt;height:5.65pt;z-index:-10" o:allowincell="f" strokecolor="#f90" strokeweight="13pt">
                  <v:textbox style="mso-next-textbox:#_x0000_s1035">
                    <w:txbxContent>
                      <w:p w14:paraId="5FD5A1EA" w14:textId="77777777" w:rsidR="0080291D" w:rsidRDefault="0080291D"/>
                    </w:txbxContent>
                  </v:textbox>
                </v:shape>
              </w:pict>
            </w: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FF00FF"/>
          </w:tcPr>
          <w:p w14:paraId="75EA4075" w14:textId="77777777" w:rsidR="0080291D" w:rsidRDefault="0080291D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Gefahrstoffbezeichnung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FF00FF"/>
          </w:tcPr>
          <w:p w14:paraId="36B7C436" w14:textId="77777777" w:rsidR="0080291D" w:rsidRDefault="0080291D">
            <w:pPr>
              <w:spacing w:line="360" w:lineRule="atLeast"/>
            </w:pPr>
          </w:p>
        </w:tc>
      </w:tr>
      <w:tr w:rsidR="0080291D" w14:paraId="4C28084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ADBD26A" w14:textId="77777777" w:rsidR="0080291D" w:rsidRDefault="0080291D">
            <w:pPr>
              <w:spacing w:before="60" w:after="60"/>
              <w:jc w:val="center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0E242CDD" w14:textId="77777777" w:rsidR="0080291D" w:rsidRDefault="008029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Begaste Transportcontainer</w:t>
            </w:r>
            <w:r>
              <w:rPr>
                <w:b/>
                <w:sz w:val="26"/>
                <w:szCs w:val="26"/>
                <w:lang w:val="en-GB"/>
              </w:rPr>
              <w:t>:</w:t>
            </w:r>
          </w:p>
          <w:p w14:paraId="1CD9D39C" w14:textId="77777777" w:rsidR="0080291D" w:rsidRDefault="008029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Phosphorwasserstoff</w:t>
            </w:r>
            <w:r>
              <w:rPr>
                <w:b/>
                <w:sz w:val="22"/>
                <w:szCs w:val="22"/>
                <w:lang w:val="en-GB"/>
              </w:rPr>
              <w:t>,</w:t>
            </w:r>
            <w:r>
              <w:rPr>
                <w:b/>
                <w:sz w:val="22"/>
                <w:szCs w:val="22"/>
              </w:rPr>
              <w:t xml:space="preserve"> Sulfuryldifluorid</w:t>
            </w:r>
            <w:r>
              <w:rPr>
                <w:b/>
                <w:sz w:val="22"/>
                <w:szCs w:val="22"/>
                <w:lang w:val="en-GB"/>
              </w:rPr>
              <w:t>,</w:t>
            </w:r>
            <w:r>
              <w:rPr>
                <w:b/>
                <w:sz w:val="22"/>
                <w:szCs w:val="22"/>
              </w:rPr>
              <w:t xml:space="preserve"> Brommethan</w:t>
            </w:r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</w:rPr>
              <w:t>(Methylbromid</w:t>
            </w:r>
            <w:r>
              <w:rPr>
                <w:b/>
                <w:sz w:val="22"/>
                <w:szCs w:val="22"/>
                <w:lang w:val="en-GB"/>
              </w:rPr>
              <w:t>)</w:t>
            </w:r>
          </w:p>
          <w:p w14:paraId="6B97B96C" w14:textId="77777777" w:rsidR="0080291D" w:rsidRDefault="0080291D">
            <w:pPr>
              <w:rPr>
                <w:b/>
                <w:sz w:val="27"/>
              </w:rPr>
            </w:pPr>
            <w:r>
              <w:rPr>
                <w:sz w:val="22"/>
                <w:szCs w:val="22"/>
              </w:rPr>
              <w:t>Farblose</w:t>
            </w:r>
            <w:r>
              <w:rPr>
                <w:sz w:val="22"/>
                <w:szCs w:val="22"/>
                <w:lang w:val="en-GB"/>
              </w:rPr>
              <w:t>, fast</w:t>
            </w:r>
            <w:r>
              <w:rPr>
                <w:sz w:val="22"/>
                <w:szCs w:val="22"/>
              </w:rPr>
              <w:t xml:space="preserve"> geruchlose Gase</w:t>
            </w:r>
            <w:r>
              <w:rPr>
                <w:sz w:val="22"/>
                <w:szCs w:val="22"/>
                <w:lang w:val="en-GB"/>
              </w:rPr>
              <w:t xml:space="preserve">. </w:t>
            </w:r>
            <w:r>
              <w:rPr>
                <w:sz w:val="22"/>
                <w:szCs w:val="22"/>
              </w:rPr>
              <w:t>Trägermaterialien (Pulver/Tabletten) für Phospho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wasserstoff kö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nen nachgasen.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36B15574" w14:textId="77777777" w:rsidR="0080291D" w:rsidRDefault="0080291D">
            <w:pPr>
              <w:spacing w:line="360" w:lineRule="atLeast"/>
            </w:pPr>
          </w:p>
        </w:tc>
      </w:tr>
      <w:tr w:rsidR="0080291D" w14:paraId="7034C2C5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FF00FF"/>
          </w:tcPr>
          <w:p w14:paraId="36D33E8D" w14:textId="77777777" w:rsidR="0080291D" w:rsidRDefault="0080291D">
            <w:pPr>
              <w:spacing w:line="360" w:lineRule="atLeast"/>
            </w:pPr>
            <w:r>
              <w:rPr>
                <w:noProof/>
              </w:rPr>
              <w:pict w14:anchorId="3AD5815F">
                <v:shape id="_x0000_s1039" type="#_x0000_t202" style="position:absolute;margin-left:.5pt;margin-top:6.85pt;width:535.75pt;height:5.65pt;z-index:-9;mso-position-horizontal-relative:text;mso-position-vertical-relative:text" o:allowincell="f" strokecolor="#f90" strokeweight="13pt">
                  <v:textbox style="mso-next-textbox:#_x0000_s1039">
                    <w:txbxContent>
                      <w:p w14:paraId="32171165" w14:textId="77777777" w:rsidR="0080291D" w:rsidRDefault="0080291D"/>
                    </w:txbxContent>
                  </v:textbox>
                </v:shape>
              </w:pict>
            </w: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FF00FF"/>
          </w:tcPr>
          <w:p w14:paraId="61137320" w14:textId="77777777" w:rsidR="0080291D" w:rsidRDefault="0080291D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FF00FF"/>
          </w:tcPr>
          <w:p w14:paraId="42346C8A" w14:textId="77777777" w:rsidR="0080291D" w:rsidRDefault="0080291D">
            <w:pPr>
              <w:spacing w:line="360" w:lineRule="atLeast"/>
            </w:pPr>
          </w:p>
        </w:tc>
      </w:tr>
      <w:tr w:rsidR="0080291D" w14:paraId="5843B35E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3320FB33" w14:textId="77777777" w:rsidR="0080291D" w:rsidRDefault="0080291D">
            <w:pPr>
              <w:spacing w:before="120"/>
              <w:jc w:val="center"/>
              <w:rPr>
                <w:sz w:val="18"/>
                <w:szCs w:val="18"/>
              </w:rPr>
            </w:pPr>
          </w:p>
          <w:p w14:paraId="1351A248" w14:textId="77777777" w:rsidR="0080291D" w:rsidRDefault="0080291D">
            <w:pPr>
              <w:spacing w:before="120"/>
              <w:jc w:val="center"/>
            </w:pPr>
            <w:r>
              <w:pict w14:anchorId="5EA636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pt;height:50.5pt">
                  <v:imagedata r:id="rId7" o:title=""/>
                </v:shape>
              </w:pict>
            </w:r>
          </w:p>
          <w:p w14:paraId="3DCB53F6" w14:textId="77777777" w:rsidR="0080291D" w:rsidRDefault="0080291D">
            <w:pPr>
              <w:spacing w:before="120"/>
              <w:jc w:val="center"/>
            </w:pPr>
            <w:r>
              <w:t>Gefahr</w:t>
            </w:r>
          </w:p>
          <w:p w14:paraId="3C60D9DC" w14:textId="77777777" w:rsidR="0080291D" w:rsidRDefault="0080291D">
            <w:pPr>
              <w:spacing w:before="120"/>
              <w:jc w:val="center"/>
            </w:pPr>
            <w:r>
              <w:pict w14:anchorId="2980B720">
                <v:shape id="_x0000_i1026" type="#_x0000_t75" style="width:50.5pt;height:50.5pt">
                  <v:imagedata r:id="rId8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6A92B06D" w14:textId="77777777" w:rsidR="0080291D" w:rsidRDefault="0080291D">
            <w:pPr>
              <w:numPr>
                <w:ilvl w:val="0"/>
                <w:numId w:val="1"/>
              </w:numPr>
              <w:tabs>
                <w:tab w:val="clear" w:pos="454"/>
                <w:tab w:val="num" w:pos="374"/>
              </w:tabs>
              <w:overflowPunct/>
              <w:autoSpaceDE/>
              <w:autoSpaceDN/>
              <w:adjustRightInd/>
              <w:ind w:left="375" w:hanging="284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Aufnahme in den Körper durch Einatmung und über die Haut!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Sehr giftig beim Einatmen</w:t>
            </w:r>
            <w:r>
              <w:rPr>
                <w:sz w:val="22"/>
                <w:szCs w:val="22"/>
              </w:rPr>
              <w:t>. Sta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ke Stoffwechsel-, Lungen- und Nervengifte.</w:t>
            </w:r>
          </w:p>
          <w:p w14:paraId="188727D5" w14:textId="77777777" w:rsidR="0080291D" w:rsidRDefault="0080291D">
            <w:pPr>
              <w:numPr>
                <w:ilvl w:val="0"/>
                <w:numId w:val="1"/>
              </w:numPr>
              <w:tabs>
                <w:tab w:val="clear" w:pos="454"/>
                <w:tab w:val="num" w:pos="374"/>
              </w:tabs>
              <w:overflowPunct/>
              <w:autoSpaceDE/>
              <w:autoSpaceDN/>
              <w:adjustRightInd/>
              <w:ind w:left="375" w:hanging="284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Warnwirkung durch Geruch. Erste Beschwerden reichen von Schwitzen, Angst, Benommenheit, Kopfschmerzen, Schwindel, Übelkeit, Kältegefühl, Übe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keit, Schmerzen in der Brust bis zu Krampfanfällen, Bewusstseinsverlust, Herzb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schwerden und Atemlä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mung.</w:t>
            </w:r>
          </w:p>
          <w:p w14:paraId="140FCEE1" w14:textId="77777777" w:rsidR="0080291D" w:rsidRDefault="0080291D">
            <w:pPr>
              <w:numPr>
                <w:ilvl w:val="0"/>
                <w:numId w:val="1"/>
              </w:numPr>
              <w:tabs>
                <w:tab w:val="clear" w:pos="454"/>
                <w:tab w:val="num" w:pos="374"/>
              </w:tabs>
              <w:overflowPunct/>
              <w:autoSpaceDE/>
              <w:autoSpaceDN/>
              <w:adjustRightInd/>
              <w:ind w:left="375" w:hanging="284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Gesundheitsschäden treten zum Teil erst nach erheblicher zeitlicher Verzögerung auf und sind dann dem auslösenden Ereignis nicht mehr sicher zuzuor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nen.</w:t>
            </w:r>
          </w:p>
          <w:p w14:paraId="3D803F91" w14:textId="77777777" w:rsidR="0080291D" w:rsidRDefault="0080291D">
            <w:pPr>
              <w:numPr>
                <w:ilvl w:val="0"/>
                <w:numId w:val="1"/>
              </w:numPr>
              <w:tabs>
                <w:tab w:val="clear" w:pos="454"/>
                <w:tab w:val="num" w:pos="374"/>
              </w:tabs>
              <w:overflowPunct/>
              <w:autoSpaceDE/>
              <w:autoSpaceDN/>
              <w:adjustRightInd/>
              <w:ind w:left="375" w:hanging="284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folienverpackter Ware </w:t>
            </w:r>
            <w:r>
              <w:rPr>
                <w:b/>
                <w:sz w:val="22"/>
                <w:szCs w:val="22"/>
              </w:rPr>
              <w:t>Gefahr von Restgasen</w:t>
            </w:r>
            <w:r>
              <w:rPr>
                <w:sz w:val="22"/>
                <w:szCs w:val="22"/>
              </w:rPr>
              <w:t>. Reste von Trägermaterialien für Phosphorwasserstoff (Pulver/Tabletten) kö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nen nachgasen.</w:t>
            </w:r>
          </w:p>
          <w:p w14:paraId="7C136F7E" w14:textId="77777777" w:rsidR="0080291D" w:rsidRDefault="0080291D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Zum Teil hochentzündliche Gase! Gase können sich im Bodenbereich des Containers a</w:t>
            </w:r>
            <w:r>
              <w:rPr>
                <w:rFonts w:cs="Arial"/>
                <w:b/>
                <w:bCs/>
                <w:sz w:val="22"/>
                <w:szCs w:val="22"/>
              </w:rPr>
              <w:t>n</w:t>
            </w:r>
            <w:r>
              <w:rPr>
                <w:rFonts w:cs="Arial"/>
                <w:b/>
                <w:bCs/>
                <w:sz w:val="22"/>
                <w:szCs w:val="22"/>
              </w:rPr>
              <w:t>sammeln.</w:t>
            </w:r>
          </w:p>
          <w:p w14:paraId="10A94277" w14:textId="77777777" w:rsidR="0080291D" w:rsidRDefault="0080291D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Häufig findet sich Schimmelbefall am Verpackungsholz im Container. </w:t>
            </w:r>
          </w:p>
          <w:p w14:paraId="4867954A" w14:textId="77777777" w:rsidR="0080291D" w:rsidRDefault="0080291D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Beachten Sie hierzu die Betrieb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anweisung: Schimmelpilze in Containern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8D70B5A" w14:textId="77777777" w:rsidR="0080291D" w:rsidRDefault="0080291D">
            <w:pPr>
              <w:spacing w:line="360" w:lineRule="atLeast"/>
            </w:pPr>
          </w:p>
          <w:p w14:paraId="7CDB62DE" w14:textId="77777777" w:rsidR="0080291D" w:rsidRPr="00D2428A" w:rsidRDefault="0080291D">
            <w:pPr>
              <w:pStyle w:val="Kopfzeile"/>
              <w:tabs>
                <w:tab w:val="clear" w:pos="4536"/>
                <w:tab w:val="clear" w:pos="9072"/>
              </w:tabs>
              <w:spacing w:line="360" w:lineRule="atLeast"/>
            </w:pPr>
            <w:r>
              <w:pict w14:anchorId="49FE0D95">
                <v:shape id="_x0000_i1027" type="#_x0000_t75" style="width:46.75pt;height:46.75pt">
                  <v:imagedata r:id="rId9" o:title=""/>
                </v:shape>
              </w:pict>
            </w:r>
          </w:p>
          <w:p w14:paraId="076CE36D" w14:textId="77777777" w:rsidR="0080291D" w:rsidRPr="00D2428A" w:rsidRDefault="0080291D">
            <w:pPr>
              <w:spacing w:line="360" w:lineRule="atLeast"/>
            </w:pPr>
            <w:r>
              <w:pict w14:anchorId="325BE77E">
                <v:shape id="_x0000_i1028" type="#_x0000_t75" style="width:46.75pt;height:46.75pt">
                  <v:imagedata r:id="rId10" o:title=""/>
                </v:shape>
              </w:pict>
            </w:r>
          </w:p>
          <w:p w14:paraId="775D7AFA" w14:textId="77777777" w:rsidR="0080291D" w:rsidRDefault="0080291D">
            <w:pPr>
              <w:spacing w:line="360" w:lineRule="atLeast"/>
              <w:rPr>
                <w:sz w:val="12"/>
                <w:szCs w:val="12"/>
              </w:rPr>
            </w:pPr>
            <w:r>
              <w:pict w14:anchorId="0ACCA8DD">
                <v:shape id="_x0000_i1029" type="#_x0000_t75" style="width:46.75pt;height:46.75pt">
                  <v:imagedata r:id="rId11" o:title=""/>
                </v:shape>
              </w:pict>
            </w:r>
          </w:p>
        </w:tc>
      </w:tr>
      <w:tr w:rsidR="0080291D" w14:paraId="4A7905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38450261" w14:textId="77777777" w:rsidR="0080291D" w:rsidRDefault="0080291D">
            <w:pPr>
              <w:pStyle w:val="berschrift3"/>
              <w:rPr>
                <w:rFonts w:cs="Arial"/>
              </w:rPr>
            </w:pPr>
            <w:r>
              <w:rPr>
                <w:rFonts w:cs="Arial"/>
                <w:noProof/>
              </w:rPr>
              <w:pict w14:anchorId="2BD0E1F8">
                <v:shape id="_x0000_s1054" type="#_x0000_t202" style="position:absolute;left:0;text-align:left;margin-left:.5pt;margin-top:6.25pt;width:535.75pt;height:5.65pt;z-index:-1;mso-position-horizontal-relative:text;mso-position-vertical-relative:text" o:allowincell="f" strokecolor="#f90" strokeweight="13pt">
                  <v:textbox style="mso-next-textbox:#_x0000_s1054">
                    <w:txbxContent>
                      <w:p w14:paraId="26855645" w14:textId="77777777" w:rsidR="0080291D" w:rsidRDefault="0080291D"/>
                    </w:txbxContent>
                  </v:textbox>
                </v:shape>
              </w:pict>
            </w:r>
            <w:r>
              <w:rPr>
                <w:rFonts w:cs="Arial"/>
              </w:rP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80291D" w14:paraId="64D6241B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FE521E7" w14:textId="77777777" w:rsidR="0080291D" w:rsidRDefault="0080291D">
            <w:pPr>
              <w:spacing w:before="120"/>
              <w:jc w:val="center"/>
              <w:rPr>
                <w:sz w:val="12"/>
              </w:rPr>
            </w:pPr>
            <w:r>
              <w:pict w14:anchorId="6876E2D3">
                <v:shape id="_x0000_i1030" type="#_x0000_t75" style="width:52.35pt;height:52.35pt">
                  <v:imagedata r:id="rId12" o:title=""/>
                </v:shape>
              </w:pict>
            </w:r>
          </w:p>
          <w:p w14:paraId="3452555D" w14:textId="77777777" w:rsidR="0080291D" w:rsidRDefault="0080291D">
            <w:pPr>
              <w:jc w:val="center"/>
              <w:rPr>
                <w:sz w:val="12"/>
              </w:rPr>
            </w:pPr>
          </w:p>
          <w:p w14:paraId="55A19E56" w14:textId="77777777" w:rsidR="0080291D" w:rsidRDefault="0080291D">
            <w:pPr>
              <w:jc w:val="center"/>
              <w:rPr>
                <w:sz w:val="12"/>
              </w:rPr>
            </w:pPr>
            <w:r>
              <w:pict w14:anchorId="33E8AFDD">
                <v:shape id="_x0000_i1031" type="#_x0000_t75" style="width:52.35pt;height:52.35pt">
                  <v:imagedata r:id="rId13" o:title=""/>
                </v:shape>
              </w:pict>
            </w:r>
          </w:p>
          <w:p w14:paraId="34442302" w14:textId="77777777" w:rsidR="0080291D" w:rsidRDefault="0080291D">
            <w:pPr>
              <w:jc w:val="center"/>
              <w:rPr>
                <w:sz w:val="12"/>
              </w:rPr>
            </w:pPr>
          </w:p>
          <w:p w14:paraId="34FFCE6E" w14:textId="77777777" w:rsidR="0080291D" w:rsidRDefault="0080291D">
            <w:pPr>
              <w:jc w:val="center"/>
              <w:rPr>
                <w:sz w:val="12"/>
              </w:rPr>
            </w:pPr>
            <w:r>
              <w:pict w14:anchorId="00AF8AC1">
                <v:shape id="_x0000_i1032" type="#_x0000_t75" style="width:52.35pt;height:52.35pt">
                  <v:imagedata r:id="rId14" o:title=""/>
                </v:shape>
              </w:pict>
            </w:r>
          </w:p>
          <w:p w14:paraId="549F2F78" w14:textId="77777777" w:rsidR="0080291D" w:rsidRDefault="0080291D">
            <w:pPr>
              <w:jc w:val="center"/>
              <w:rPr>
                <w:sz w:val="12"/>
              </w:rPr>
            </w:pPr>
          </w:p>
          <w:p w14:paraId="79ED02CE" w14:textId="77777777" w:rsidR="0080291D" w:rsidRDefault="0080291D">
            <w:pPr>
              <w:jc w:val="center"/>
              <w:rPr>
                <w:sz w:val="12"/>
              </w:rPr>
            </w:pPr>
            <w:r>
              <w:pict w14:anchorId="696ABCF1">
                <v:shape id="_x0000_i1033" type="#_x0000_t75" style="width:52.35pt;height:52.35pt">
                  <v:imagedata r:id="rId15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14918E7A" w14:textId="77777777" w:rsidR="0080291D" w:rsidRDefault="0080291D">
            <w:pPr>
              <w:numPr>
                <w:ilvl w:val="0"/>
                <w:numId w:val="11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Kontrollieren Sie die Frachtpapiere auf verwendete Begasungsmittel und eine vo</w:t>
            </w:r>
            <w:r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 xml:space="preserve">liegende Freigabebescheinigung. Öffnen Sie den Container </w:t>
            </w:r>
            <w:r>
              <w:rPr>
                <w:rFonts w:cs="Arial"/>
                <w:b/>
                <w:sz w:val="22"/>
                <w:szCs w:val="22"/>
              </w:rPr>
              <w:t>nicht</w:t>
            </w:r>
            <w:r>
              <w:rPr>
                <w:rFonts w:cs="Arial"/>
                <w:sz w:val="22"/>
                <w:szCs w:val="22"/>
              </w:rPr>
              <w:t xml:space="preserve"> ohne </w:t>
            </w:r>
            <w:r>
              <w:rPr>
                <w:rFonts w:cs="Arial"/>
                <w:b/>
                <w:sz w:val="22"/>
                <w:szCs w:val="22"/>
              </w:rPr>
              <w:t>Freigab</w:t>
            </w:r>
            <w:r>
              <w:rPr>
                <w:rFonts w:cs="Arial"/>
                <w:b/>
                <w:sz w:val="22"/>
                <w:szCs w:val="22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>bescheinigung!</w:t>
            </w:r>
          </w:p>
          <w:p w14:paraId="2F1398B1" w14:textId="77777777" w:rsidR="0080291D" w:rsidRDefault="0080291D">
            <w:pPr>
              <w:numPr>
                <w:ilvl w:val="0"/>
                <w:numId w:val="11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Achten Sie vor dem Öffnen des Containers auf verklebte Lüftungsschlitze: Ve</w:t>
            </w:r>
            <w:r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>dacht auf mangelnde B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lüftung. Informieren Sie Ihren Vorgesetzten! </w:t>
            </w:r>
          </w:p>
          <w:p w14:paraId="1DD584E3" w14:textId="77777777" w:rsidR="0080291D" w:rsidRDefault="0080291D">
            <w:pPr>
              <w:numPr>
                <w:ilvl w:val="0"/>
                <w:numId w:val="11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Folienverpackte Ware ins Freie transportieren. Mit persönlicher Schutzausrüstung Folie öffnen und au</w:t>
            </w:r>
            <w:r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lüften lassen. Container gegen Betreten sichern!</w:t>
            </w:r>
          </w:p>
          <w:p w14:paraId="2357AFFD" w14:textId="77777777" w:rsidR="0080291D" w:rsidRDefault="0080291D">
            <w:pPr>
              <w:numPr>
                <w:ilvl w:val="0"/>
                <w:numId w:val="11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Schutzkleidung: </w:t>
            </w:r>
            <w:r>
              <w:rPr>
                <w:rFonts w:cs="Arial"/>
                <w:bCs/>
                <w:sz w:val="22"/>
                <w:szCs w:val="22"/>
              </w:rPr>
              <w:t>dichtschließende Schutzkleidung (Einmalschutzanzug).</w:t>
            </w:r>
          </w:p>
          <w:p w14:paraId="7607473C" w14:textId="77777777" w:rsidR="0080291D" w:rsidRDefault="0080291D">
            <w:pPr>
              <w:numPr>
                <w:ilvl w:val="0"/>
                <w:numId w:val="11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Augenschutz: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>
              <w:rPr>
                <w:rFonts w:cs="Arial"/>
                <w:sz w:val="22"/>
                <w:szCs w:val="22"/>
              </w:rPr>
              <w:t>ichtschließende Schutzbrille, falls Schutz der Augen nicht durch Atemschutzmaske g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währleistet ist.</w:t>
            </w:r>
          </w:p>
          <w:p w14:paraId="1044D032" w14:textId="77777777" w:rsidR="0080291D" w:rsidRDefault="0080291D">
            <w:pPr>
              <w:numPr>
                <w:ilvl w:val="0"/>
                <w:numId w:val="11"/>
              </w:numPr>
              <w:tabs>
                <w:tab w:val="clear" w:pos="720"/>
                <w:tab w:val="num" w:pos="374"/>
              </w:tabs>
              <w:overflowPunct/>
              <w:ind w:left="374" w:hanging="284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Atemschutz: </w:t>
            </w:r>
            <w:r>
              <w:rPr>
                <w:rFonts w:cs="Arial"/>
                <w:bCs/>
                <w:sz w:val="22"/>
                <w:szCs w:val="22"/>
              </w:rPr>
              <w:t>Bei unbekanntem Begasungsmittel: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Umluftunabhängiger Ate</w:t>
            </w:r>
            <w:r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 xml:space="preserve">schutz; bei Brommethan: Vollschutzmaske Filter AX (braun) P3; bei </w:t>
            </w:r>
            <w:r>
              <w:rPr>
                <w:sz w:val="22"/>
                <w:szCs w:val="22"/>
              </w:rPr>
              <w:t>Phospho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wasserstoff:</w:t>
            </w:r>
            <w:r>
              <w:rPr>
                <w:rFonts w:cs="Arial"/>
                <w:sz w:val="22"/>
                <w:szCs w:val="22"/>
              </w:rPr>
              <w:t xml:space="preserve"> Vollschutzmaske Gasfilter B (grau) P3</w:t>
            </w:r>
            <w:r>
              <w:rPr>
                <w:sz w:val="22"/>
                <w:szCs w:val="22"/>
              </w:rPr>
              <w:t xml:space="preserve"> bei Sulfuryldifluorid; </w:t>
            </w:r>
            <w:r>
              <w:rPr>
                <w:rFonts w:cs="Arial"/>
                <w:sz w:val="22"/>
                <w:szCs w:val="22"/>
              </w:rPr>
              <w:t>Umluft</w:t>
            </w:r>
            <w:r>
              <w:rPr>
                <w:rFonts w:cs="Arial"/>
                <w:sz w:val="22"/>
                <w:szCs w:val="22"/>
              </w:rPr>
              <w:t>u</w:t>
            </w:r>
            <w:r>
              <w:rPr>
                <w:rFonts w:cs="Arial"/>
                <w:sz w:val="22"/>
                <w:szCs w:val="22"/>
              </w:rPr>
              <w:t>nabhängigen Atemschutz (z.B. Presslufta</w:t>
            </w:r>
            <w:r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mer) verwenden.</w:t>
            </w:r>
          </w:p>
          <w:p w14:paraId="3AF3CA55" w14:textId="77777777" w:rsidR="0080291D" w:rsidRDefault="0080291D">
            <w:pPr>
              <w:numPr>
                <w:ilvl w:val="0"/>
                <w:numId w:val="11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Hautschutz: 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Brommethan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Fluorkautschukhandschuhe, 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Sulfurylfluorid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Nitri</w:t>
            </w:r>
            <w:r>
              <w:rPr>
                <w:rFonts w:cs="Arial"/>
                <w:bCs/>
                <w:sz w:val="22"/>
                <w:szCs w:val="22"/>
              </w:rPr>
              <w:t>l</w:t>
            </w:r>
            <w:r>
              <w:rPr>
                <w:rFonts w:cs="Arial"/>
                <w:bCs/>
                <w:sz w:val="22"/>
                <w:szCs w:val="22"/>
              </w:rPr>
              <w:t xml:space="preserve">kautschukhandschuhe, 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Phosphorwasserstoff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Neoprenhandschuhe. </w:t>
            </w:r>
            <w:r>
              <w:rPr>
                <w:rFonts w:cs="Arial"/>
                <w:sz w:val="22"/>
                <w:szCs w:val="22"/>
              </w:rPr>
              <w:t>Trageze</w:t>
            </w:r>
            <w:r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ten beachten.</w:t>
            </w:r>
          </w:p>
          <w:p w14:paraId="35A5F340" w14:textId="77777777" w:rsidR="0080291D" w:rsidRDefault="0080291D">
            <w:pPr>
              <w:numPr>
                <w:ilvl w:val="0"/>
                <w:numId w:val="11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Nicht essen, trinken, rauchen. Vor Arbeitspausen Hände und Gesicht w</w:t>
            </w:r>
            <w:r>
              <w:rPr>
                <w:rFonts w:cs="Arial"/>
                <w:b/>
                <w:bCs/>
                <w:sz w:val="22"/>
                <w:szCs w:val="22"/>
              </w:rPr>
              <w:t>a</w:t>
            </w:r>
            <w:r>
              <w:rPr>
                <w:rFonts w:cs="Arial"/>
                <w:b/>
                <w:bCs/>
                <w:sz w:val="22"/>
                <w:szCs w:val="22"/>
              </w:rPr>
              <w:t>schen, nach A</w:t>
            </w:r>
            <w:r>
              <w:rPr>
                <w:rFonts w:cs="Arial"/>
                <w:b/>
                <w:bCs/>
                <w:sz w:val="22"/>
                <w:szCs w:val="22"/>
              </w:rPr>
              <w:t>r</w:t>
            </w:r>
            <w:r>
              <w:rPr>
                <w:rFonts w:cs="Arial"/>
                <w:b/>
                <w:bCs/>
                <w:sz w:val="22"/>
                <w:szCs w:val="22"/>
              </w:rPr>
              <w:t>beitsende Duschen.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3A71A5F5" w14:textId="77777777" w:rsidR="0080291D" w:rsidRDefault="0080291D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4F87B53" w14:textId="77777777" w:rsidR="0080291D" w:rsidRDefault="00D2428A">
            <w:pPr>
              <w:jc w:val="center"/>
              <w:rPr>
                <w:sz w:val="12"/>
                <w:szCs w:val="12"/>
              </w:rPr>
            </w:pPr>
            <w:r w:rsidRPr="00EC31E5">
              <w:rPr>
                <w:noProof/>
              </w:rPr>
              <w:pict w14:anchorId="3EDF578C">
                <v:shape id="Grafik 37" o:spid="_x0000_i1034" type="#_x0000_t75" style="width:42.1pt;height:42.1pt;visibility:visible">
                  <v:imagedata r:id="rId16" o:title=""/>
                </v:shape>
              </w:pict>
            </w:r>
          </w:p>
          <w:p w14:paraId="3B9FF864" w14:textId="77777777" w:rsidR="0080291D" w:rsidRDefault="0080291D">
            <w:pPr>
              <w:jc w:val="center"/>
              <w:rPr>
                <w:sz w:val="12"/>
                <w:szCs w:val="12"/>
              </w:rPr>
            </w:pPr>
          </w:p>
          <w:p w14:paraId="0308FAFC" w14:textId="77777777" w:rsidR="0080291D" w:rsidRDefault="00D2428A">
            <w:pPr>
              <w:jc w:val="center"/>
              <w:rPr>
                <w:sz w:val="12"/>
                <w:szCs w:val="12"/>
              </w:rPr>
            </w:pPr>
            <w:r w:rsidRPr="00EC31E5">
              <w:rPr>
                <w:noProof/>
              </w:rPr>
              <w:pict w14:anchorId="192E6DAE">
                <v:shape id="Grafik 32" o:spid="_x0000_i1035" type="#_x0000_t75" style="width:44.9pt;height:44.9pt;visibility:visible">
                  <v:imagedata r:id="rId17" o:title=""/>
                </v:shape>
              </w:pict>
            </w:r>
          </w:p>
          <w:p w14:paraId="0A91432F" w14:textId="77777777" w:rsidR="0080291D" w:rsidRDefault="0080291D">
            <w:pPr>
              <w:jc w:val="center"/>
              <w:rPr>
                <w:sz w:val="12"/>
                <w:szCs w:val="12"/>
              </w:rPr>
            </w:pPr>
          </w:p>
          <w:p w14:paraId="01CB06F2" w14:textId="77777777" w:rsidR="0080291D" w:rsidRDefault="0080291D">
            <w:pPr>
              <w:jc w:val="center"/>
              <w:rPr>
                <w:sz w:val="12"/>
                <w:szCs w:val="12"/>
              </w:rPr>
            </w:pPr>
          </w:p>
        </w:tc>
      </w:tr>
      <w:tr w:rsidR="0080291D" w14:paraId="14B8FE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06340539" w14:textId="77777777" w:rsidR="0080291D" w:rsidRDefault="0080291D">
            <w:pPr>
              <w:pStyle w:val="berschrift3"/>
            </w:pPr>
            <w:r>
              <w:rPr>
                <w:noProof/>
              </w:rPr>
              <w:pict w14:anchorId="0779B360">
                <v:shape id="_x0000_s1053" type="#_x0000_t202" style="position:absolute;left:0;text-align:left;margin-left:.5pt;margin-top:6.25pt;width:535.75pt;height:5.65pt;z-index:-2;mso-position-horizontal-relative:text;mso-position-vertical-relative:text" o:allowincell="f" strokecolor="#f90" strokeweight="13pt">
                  <v:textbox style="mso-next-textbox:#_x0000_s1053">
                    <w:txbxContent>
                      <w:p w14:paraId="39F3AE19" w14:textId="77777777" w:rsidR="0080291D" w:rsidRDefault="0080291D"/>
                    </w:txbxContent>
                  </v:textbox>
                </v:shape>
              </w:pict>
            </w:r>
            <w:r>
              <w:t xml:space="preserve">4. </w:t>
            </w:r>
            <w:r>
              <w:rPr>
                <w:caps/>
              </w:rPr>
              <w:t>Verhalten im Gefahrfall</w:t>
            </w:r>
          </w:p>
        </w:tc>
      </w:tr>
      <w:tr w:rsidR="0080291D" w14:paraId="714DADF0" w14:textId="77777777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186" w:type="dxa"/>
            <w:tcBorders>
              <w:bottom w:val="single" w:sz="4" w:space="0" w:color="auto"/>
            </w:tcBorders>
          </w:tcPr>
          <w:p w14:paraId="17F60D5D" w14:textId="77777777" w:rsidR="0080291D" w:rsidRDefault="0080291D"/>
        </w:tc>
        <w:tc>
          <w:tcPr>
            <w:tcW w:w="8608" w:type="dxa"/>
            <w:tcBorders>
              <w:bottom w:val="single" w:sz="4" w:space="0" w:color="auto"/>
            </w:tcBorders>
            <w:vAlign w:val="center"/>
          </w:tcPr>
          <w:p w14:paraId="556B72D0" w14:textId="77777777" w:rsidR="0080291D" w:rsidRDefault="0080291D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Bei fehlender Freigabebescheinigung und Verdacht auf Restgas im Container ist ein </w:t>
            </w:r>
            <w:r>
              <w:rPr>
                <w:rFonts w:cs="Arial"/>
                <w:b/>
                <w:sz w:val="22"/>
                <w:szCs w:val="22"/>
              </w:rPr>
              <w:t>Befähigungsscheininhaber</w:t>
            </w:r>
            <w:r>
              <w:rPr>
                <w:rFonts w:cs="Arial"/>
                <w:sz w:val="22"/>
                <w:szCs w:val="22"/>
              </w:rPr>
              <w:t xml:space="preserve"> hinzuz</w:t>
            </w:r>
            <w:r>
              <w:rPr>
                <w:rFonts w:cs="Arial"/>
                <w:sz w:val="22"/>
                <w:szCs w:val="22"/>
              </w:rPr>
              <w:t>u</w:t>
            </w:r>
            <w:r>
              <w:rPr>
                <w:rFonts w:cs="Arial"/>
                <w:sz w:val="22"/>
                <w:szCs w:val="22"/>
              </w:rPr>
              <w:t>ziehen.</w:t>
            </w:r>
          </w:p>
          <w:p w14:paraId="16208116" w14:textId="77777777" w:rsidR="0080291D" w:rsidRDefault="0080291D">
            <w:pPr>
              <w:numPr>
                <w:ilvl w:val="0"/>
                <w:numId w:val="12"/>
              </w:numPr>
              <w:tabs>
                <w:tab w:val="clear" w:pos="720"/>
                <w:tab w:val="num" w:pos="374"/>
              </w:tabs>
              <w:ind w:left="375" w:hanging="284"/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Container verschließen und gegen Betreten sichern.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804F591" w14:textId="77777777" w:rsidR="0080291D" w:rsidRDefault="00D2428A">
            <w:pPr>
              <w:spacing w:before="60"/>
              <w:jc w:val="center"/>
            </w:pPr>
            <w:r w:rsidRPr="00EC31E5">
              <w:rPr>
                <w:noProof/>
              </w:rPr>
              <w:pict w14:anchorId="25325B31">
                <v:shape id="Grafik 36" o:spid="_x0000_i1036" type="#_x0000_t75" style="width:44.9pt;height:44.9pt;visibility:visible">
                  <v:imagedata r:id="rId18" o:title=""/>
                </v:shape>
              </w:pict>
            </w:r>
          </w:p>
        </w:tc>
      </w:tr>
    </w:tbl>
    <w:p w14:paraId="4C16D08A" w14:textId="77777777" w:rsidR="0080291D" w:rsidRDefault="0080291D">
      <w:pPr>
        <w:jc w:val="center"/>
      </w:pPr>
      <w:r>
        <w:t>Seite 1 von 2</w:t>
      </w:r>
    </w:p>
    <w:p w14:paraId="224B1DD2" w14:textId="77777777" w:rsidR="0080291D" w:rsidRDefault="0080291D">
      <w:r>
        <w:br w:type="page"/>
      </w:r>
      <w:r w:rsidR="0049150B">
        <w:rPr>
          <w:noProof/>
        </w:rPr>
        <w:lastRenderedPageBreak/>
        <w:pict w14:anchorId="62E319E7">
          <v:rect id="_x0000_s1052" style="position:absolute;margin-left:-4.25pt;margin-top:13.5pt;width:548.4pt;height:434.85pt;z-index:9" filled="f" strokecolor="fuchsia" strokeweight="7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80291D" w14:paraId="0CB877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36C3B30B" w14:textId="77777777" w:rsidR="0080291D" w:rsidRDefault="0080291D">
            <w:pPr>
              <w:pStyle w:val="berschrift3"/>
            </w:pPr>
            <w:r>
              <w:rPr>
                <w:noProof/>
              </w:rPr>
              <w:pict w14:anchorId="3D659D51">
                <v:shape id="_x0000_s1041" type="#_x0000_t202" style="position:absolute;left:0;text-align:left;margin-left:.5pt;margin-top:6.25pt;width:535.75pt;height:5.65pt;z-index:-8" o:allowincell="f" strokecolor="#f90" strokeweight="13pt">
                  <v:textbox style="mso-next-textbox:#_x0000_s1041">
                    <w:txbxContent>
                      <w:p w14:paraId="1CD0F09B" w14:textId="77777777" w:rsidR="0080291D" w:rsidRDefault="0080291D"/>
                    </w:txbxContent>
                  </v:textbox>
                </v:shape>
              </w:pict>
            </w: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80291D" w14:paraId="613D608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BDAAB48" w14:textId="77777777" w:rsidR="0080291D" w:rsidRDefault="0080291D">
            <w:pPr>
              <w:spacing w:before="120" w:after="60"/>
              <w:jc w:val="center"/>
            </w:pPr>
            <w:r>
              <w:pict w14:anchorId="17E13C5F">
                <v:shape id="_x0000_i1037" type="#_x0000_t75" style="width:52.35pt;height:52.35pt">
                  <v:imagedata r:id="rId19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2EE9AEC4" w14:textId="77777777" w:rsidR="0080291D" w:rsidRDefault="0080291D">
            <w:pPr>
              <w:numPr>
                <w:ilvl w:val="0"/>
                <w:numId w:val="14"/>
              </w:numPr>
              <w:tabs>
                <w:tab w:val="clear" w:pos="720"/>
                <w:tab w:val="num" w:pos="374"/>
              </w:tabs>
              <w:overflowPunct/>
              <w:autoSpaceDE/>
              <w:autoSpaceDN/>
              <w:adjustRightInd/>
              <w:ind w:left="374" w:hanging="284"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Bei jeder Erste-Hilfe-Maßnahme</w:t>
            </w:r>
            <w:r>
              <w:rPr>
                <w:sz w:val="22"/>
                <w:szCs w:val="22"/>
              </w:rPr>
              <w:t>: Selbstschutz beachten und Arzt verständ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gen.</w:t>
            </w:r>
          </w:p>
          <w:p w14:paraId="55E2653A" w14:textId="77777777" w:rsidR="0080291D" w:rsidRDefault="0080291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Anzeichen einer Vergiftung in jedem Fall Notarzt herbeirufen! Verletzten aus dem Gefahrenb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reich entfernen.</w:t>
            </w:r>
          </w:p>
          <w:p w14:paraId="69523B9C" w14:textId="77777777" w:rsidR="0080291D" w:rsidRDefault="0080291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Sicherheitsdatenblätter bzw. Frachtpapiere mit Stoffbezeichnung der verwandten Mittel für den Arzt bereitha</w:t>
            </w:r>
            <w:r>
              <w:rPr>
                <w:rFonts w:cs="Arial"/>
                <w:sz w:val="22"/>
                <w:szCs w:val="22"/>
              </w:rPr>
              <w:t>l</w:t>
            </w:r>
            <w:r>
              <w:rPr>
                <w:rFonts w:cs="Arial"/>
                <w:sz w:val="22"/>
                <w:szCs w:val="22"/>
              </w:rPr>
              <w:t>ten!</w:t>
            </w:r>
          </w:p>
          <w:p w14:paraId="12C5ABD6" w14:textId="77777777" w:rsidR="002B25B5" w:rsidRPr="006148D7" w:rsidRDefault="002B25B5" w:rsidP="006148D7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 w:rsidRPr="006148D7">
              <w:rPr>
                <w:rFonts w:cs="Arial"/>
                <w:sz w:val="22"/>
                <w:szCs w:val="22"/>
              </w:rPr>
              <w:t>Unmittelbar nach dem Unfall, auch bei fehlenden Krankheits</w:t>
            </w:r>
            <w:r w:rsidR="00D2428A">
              <w:rPr>
                <w:rFonts w:cs="Arial"/>
                <w:sz w:val="22"/>
                <w:szCs w:val="22"/>
              </w:rPr>
              <w:t>an</w:t>
            </w:r>
            <w:r w:rsidRPr="006148D7">
              <w:rPr>
                <w:rFonts w:cs="Arial"/>
                <w:sz w:val="22"/>
                <w:szCs w:val="22"/>
              </w:rPr>
              <w:t>zeichen</w:t>
            </w:r>
            <w:r w:rsidR="006148D7">
              <w:rPr>
                <w:rFonts w:cs="Arial"/>
                <w:sz w:val="22"/>
                <w:szCs w:val="22"/>
              </w:rPr>
              <w:t xml:space="preserve"> </w:t>
            </w:r>
            <w:r w:rsidRPr="006148D7">
              <w:rPr>
                <w:rFonts w:cs="Arial"/>
                <w:sz w:val="22"/>
                <w:szCs w:val="22"/>
              </w:rPr>
              <w:t xml:space="preserve">„Ventolair-100 </w:t>
            </w:r>
            <w:proofErr w:type="spellStart"/>
            <w:r w:rsidRPr="006148D7">
              <w:rPr>
                <w:rFonts w:cs="Arial"/>
                <w:sz w:val="22"/>
                <w:szCs w:val="22"/>
              </w:rPr>
              <w:t>μg</w:t>
            </w:r>
            <w:proofErr w:type="spellEnd"/>
            <w:r w:rsidRPr="006148D7">
              <w:rPr>
                <w:rFonts w:cs="Arial"/>
                <w:sz w:val="22"/>
                <w:szCs w:val="22"/>
              </w:rPr>
              <w:t>“ inhalieren lassen: Initial 4 Sprühstöße, weitere Behandlung nach ärztlicher Anordnung</w:t>
            </w:r>
          </w:p>
          <w:p w14:paraId="445DF441" w14:textId="77777777" w:rsidR="0080291D" w:rsidRDefault="0080291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Nach Augenkontakt: </w:t>
            </w:r>
            <w:r>
              <w:rPr>
                <w:rFonts w:cs="Arial"/>
                <w:sz w:val="22"/>
                <w:szCs w:val="22"/>
              </w:rPr>
              <w:t>Unter fließendem Wasser bei gut geöffnetem Lidspalt me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rere Minuten sp</w:t>
            </w:r>
            <w:r>
              <w:rPr>
                <w:rFonts w:cs="Arial"/>
                <w:sz w:val="22"/>
                <w:szCs w:val="22"/>
              </w:rPr>
              <w:t>ü</w:t>
            </w:r>
            <w:r>
              <w:rPr>
                <w:rFonts w:cs="Arial"/>
                <w:sz w:val="22"/>
                <w:szCs w:val="22"/>
              </w:rPr>
              <w:t>len.</w:t>
            </w:r>
          </w:p>
          <w:p w14:paraId="63702E57" w14:textId="77777777" w:rsidR="0080291D" w:rsidRDefault="0080291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Nach Hautkontakt und/oder Einatmung: </w:t>
            </w:r>
            <w:r>
              <w:rPr>
                <w:rFonts w:cs="Arial"/>
                <w:sz w:val="22"/>
                <w:szCs w:val="22"/>
              </w:rPr>
              <w:t>Notruf, auch wenn noch keine Vergi</w:t>
            </w:r>
            <w:r>
              <w:rPr>
                <w:rFonts w:cs="Arial"/>
                <w:sz w:val="22"/>
                <w:szCs w:val="22"/>
              </w:rPr>
              <w:t>f</w:t>
            </w:r>
            <w:r>
              <w:rPr>
                <w:rFonts w:cs="Arial"/>
                <w:sz w:val="22"/>
                <w:szCs w:val="22"/>
              </w:rPr>
              <w:t>tungssymptome aufgetreten sind! Frischluft, Ruhe, Wärme, möglichst Sauerstoff inhalieren lassen.</w:t>
            </w:r>
          </w:p>
          <w:p w14:paraId="61AE9971" w14:textId="77777777" w:rsidR="0080291D" w:rsidRDefault="0080291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Ate</w:t>
            </w:r>
            <w:r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 xml:space="preserve">spende künstliche Beatmung, möglichst </w:t>
            </w:r>
            <w:r>
              <w:rPr>
                <w:rFonts w:cs="Arial"/>
                <w:b/>
                <w:sz w:val="22"/>
                <w:szCs w:val="22"/>
              </w:rPr>
              <w:t>keine</w:t>
            </w:r>
            <w:r>
              <w:rPr>
                <w:rFonts w:cs="Arial"/>
                <w:sz w:val="22"/>
                <w:szCs w:val="22"/>
              </w:rPr>
              <w:t xml:space="preserve"> Mund-zu-Mund-Beatmung. Betroffene Hautstellen unter fließendem Wasser gründlich mit Seife reinigen.</w:t>
            </w:r>
          </w:p>
          <w:p w14:paraId="02417C17" w14:textId="77777777" w:rsidR="0080291D" w:rsidRDefault="0080291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  <w:rPr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Nach Kleidungskontakt: </w:t>
            </w:r>
            <w:r>
              <w:rPr>
                <w:sz w:val="22"/>
                <w:szCs w:val="22"/>
              </w:rPr>
              <w:t>Kleidung sofort ablegen, akute Vergiftungsgefahr. An ungefährdeter Stelle im Freien auslüften lassen.</w:t>
            </w:r>
          </w:p>
          <w:p w14:paraId="25423162" w14:textId="77777777" w:rsidR="0080291D" w:rsidRDefault="0080291D">
            <w:pPr>
              <w:numPr>
                <w:ilvl w:val="0"/>
                <w:numId w:val="15"/>
              </w:numPr>
              <w:tabs>
                <w:tab w:val="clear" w:pos="720"/>
                <w:tab w:val="num" w:pos="374"/>
              </w:tabs>
              <w:overflowPunct/>
              <w:autoSpaceDE/>
              <w:autoSpaceDN/>
              <w:adjustRightInd/>
              <w:spacing w:after="20"/>
              <w:ind w:left="375" w:hanging="284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ranziehen.</w:t>
            </w:r>
          </w:p>
          <w:p w14:paraId="776D4AD3" w14:textId="77777777" w:rsidR="0080291D" w:rsidRDefault="0080291D">
            <w:pPr>
              <w:numPr>
                <w:ilvl w:val="0"/>
                <w:numId w:val="15"/>
              </w:numPr>
              <w:tabs>
                <w:tab w:val="clear" w:pos="720"/>
                <w:tab w:val="num" w:pos="374"/>
              </w:tabs>
              <w:overflowPunct/>
              <w:autoSpaceDE/>
              <w:autoSpaceDN/>
              <w:adjustRightInd/>
              <w:spacing w:after="20"/>
              <w:ind w:left="375" w:hanging="284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36DC89C6" w14:textId="77777777" w:rsidR="0080291D" w:rsidRDefault="0080291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after="60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59E33FE" w14:textId="77777777" w:rsidR="0080291D" w:rsidRDefault="0080291D">
            <w:pPr>
              <w:spacing w:before="120"/>
              <w:jc w:val="center"/>
            </w:pPr>
            <w:r>
              <w:pict w14:anchorId="36D5CC9F">
                <v:shape id="_x0000_i1038" type="#_x0000_t75" style="width:52.35pt;height:52.35pt">
                  <v:imagedata r:id="rId20" o:title=""/>
                </v:shape>
              </w:pict>
            </w:r>
          </w:p>
        </w:tc>
      </w:tr>
      <w:tr w:rsidR="0080291D" w14:paraId="4E6E5B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0AADF3CB" w14:textId="77777777" w:rsidR="0080291D" w:rsidRDefault="0080291D">
            <w:pPr>
              <w:pStyle w:val="berschrift3"/>
            </w:pPr>
            <w:r>
              <w:rPr>
                <w:noProof/>
              </w:rPr>
              <w:pict w14:anchorId="7E510390">
                <v:shape id="_x0000_s1044" type="#_x0000_t202" style="position:absolute;left:0;text-align:left;margin-left:.5pt;margin-top:6.25pt;width:535.75pt;height:5.65pt;z-index:-7;mso-position-horizontal-relative:text;mso-position-vertical-relative:text" o:allowincell="f" strokecolor="#f90" strokeweight="13pt">
                  <v:textbox style="mso-next-textbox:#_x0000_s1044">
                    <w:txbxContent>
                      <w:p w14:paraId="3CDF027C" w14:textId="77777777" w:rsidR="0080291D" w:rsidRDefault="0080291D"/>
                    </w:txbxContent>
                  </v:textbox>
                </v:shape>
              </w:pict>
            </w:r>
            <w:r>
              <w:t xml:space="preserve">6. </w:t>
            </w:r>
            <w:r>
              <w:rPr>
                <w:caps/>
              </w:rPr>
              <w:t>Sachgerechte Entsorgung</w:t>
            </w:r>
          </w:p>
        </w:tc>
      </w:tr>
      <w:tr w:rsidR="0080291D" w14:paraId="35E781C3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7AC4DC5A" w14:textId="77777777" w:rsidR="0080291D" w:rsidRDefault="0080291D">
            <w:pPr>
              <w:spacing w:line="360" w:lineRule="atLeast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6D4665D3" w14:textId="77777777" w:rsidR="0080291D" w:rsidRDefault="0080291D">
            <w:pPr>
              <w:pStyle w:val="Kopfzeile"/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anfallenden Abfälle sind an einem gut gelüfteten, abgetrennten Betriebsb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reich zwischenzulagern und entsprechend den abfallrechtlichen Regelungen zu en</w:t>
            </w:r>
            <w:r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 xml:space="preserve">sorgen.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0BD36AE" w14:textId="77777777" w:rsidR="0080291D" w:rsidRDefault="0080291D">
            <w:pPr>
              <w:spacing w:line="360" w:lineRule="atLeast"/>
            </w:pPr>
          </w:p>
        </w:tc>
      </w:tr>
    </w:tbl>
    <w:p w14:paraId="0D69D36F" w14:textId="77777777" w:rsidR="0080291D" w:rsidRDefault="0080291D">
      <w:pPr>
        <w:rPr>
          <w:sz w:val="22"/>
          <w:szCs w:val="22"/>
        </w:rPr>
      </w:pPr>
    </w:p>
    <w:p w14:paraId="2FE108A4" w14:textId="77777777" w:rsidR="0080291D" w:rsidRDefault="0080291D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80291D" w14:paraId="0C1E195E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671541B5" w14:textId="77777777" w:rsidR="0080291D" w:rsidRDefault="00802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3586BD8E" w14:textId="77777777" w:rsidR="0080291D" w:rsidRDefault="00802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0D22D3A5" w14:textId="77777777" w:rsidR="0080291D" w:rsidRDefault="00802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79BFD601" w14:textId="77777777" w:rsidR="0080291D" w:rsidRDefault="0080291D">
      <w:pPr>
        <w:spacing w:line="360" w:lineRule="atLeast"/>
      </w:pPr>
    </w:p>
    <w:p w14:paraId="4F81E0AB" w14:textId="77777777" w:rsidR="0080291D" w:rsidRDefault="0080291D">
      <w:pPr>
        <w:spacing w:line="360" w:lineRule="atLeast"/>
      </w:pPr>
    </w:p>
    <w:p w14:paraId="4494E726" w14:textId="77777777" w:rsidR="0080291D" w:rsidRDefault="0080291D">
      <w:pPr>
        <w:spacing w:line="360" w:lineRule="atLeast"/>
      </w:pPr>
    </w:p>
    <w:p w14:paraId="1F746D48" w14:textId="77777777" w:rsidR="0080291D" w:rsidRDefault="0080291D">
      <w:pPr>
        <w:spacing w:line="360" w:lineRule="atLeast"/>
      </w:pPr>
    </w:p>
    <w:p w14:paraId="509119C7" w14:textId="77777777" w:rsidR="0080291D" w:rsidRDefault="0080291D">
      <w:pPr>
        <w:spacing w:line="360" w:lineRule="atLeast"/>
      </w:pPr>
    </w:p>
    <w:p w14:paraId="6996D117" w14:textId="77777777" w:rsidR="0080291D" w:rsidRDefault="0080291D">
      <w:pPr>
        <w:spacing w:line="360" w:lineRule="atLeast"/>
      </w:pPr>
    </w:p>
    <w:p w14:paraId="59E04B7A" w14:textId="77777777" w:rsidR="0080291D" w:rsidRDefault="0080291D">
      <w:pPr>
        <w:spacing w:line="360" w:lineRule="atLeast"/>
      </w:pPr>
    </w:p>
    <w:p w14:paraId="0CBC6549" w14:textId="77777777" w:rsidR="0080291D" w:rsidRDefault="0080291D">
      <w:pPr>
        <w:spacing w:line="360" w:lineRule="atLeast"/>
      </w:pPr>
    </w:p>
    <w:p w14:paraId="32864C74" w14:textId="77777777" w:rsidR="0080291D" w:rsidRDefault="0080291D">
      <w:pPr>
        <w:spacing w:line="360" w:lineRule="atLeast"/>
      </w:pPr>
    </w:p>
    <w:p w14:paraId="652FDB0D" w14:textId="77777777" w:rsidR="0080291D" w:rsidRDefault="0080291D">
      <w:pPr>
        <w:spacing w:line="360" w:lineRule="atLeast"/>
      </w:pPr>
    </w:p>
    <w:p w14:paraId="77F3648D" w14:textId="77777777" w:rsidR="0080291D" w:rsidRDefault="0080291D">
      <w:pPr>
        <w:spacing w:line="360" w:lineRule="atLeast"/>
      </w:pPr>
    </w:p>
    <w:p w14:paraId="4F656577" w14:textId="77777777" w:rsidR="0080291D" w:rsidRDefault="0080291D">
      <w:pPr>
        <w:spacing w:line="360" w:lineRule="atLeast"/>
      </w:pPr>
    </w:p>
    <w:p w14:paraId="7FF263F6" w14:textId="77777777" w:rsidR="0080291D" w:rsidRDefault="0080291D">
      <w:pPr>
        <w:spacing w:line="360" w:lineRule="atLeast"/>
      </w:pPr>
    </w:p>
    <w:p w14:paraId="10F1DD7D" w14:textId="77777777" w:rsidR="0080291D" w:rsidRDefault="0080291D">
      <w:pPr>
        <w:spacing w:line="360" w:lineRule="atLeast"/>
      </w:pPr>
    </w:p>
    <w:p w14:paraId="29CAC779" w14:textId="77777777" w:rsidR="0080291D" w:rsidRDefault="0080291D">
      <w:pPr>
        <w:spacing w:line="360" w:lineRule="atLeast"/>
      </w:pPr>
    </w:p>
    <w:p w14:paraId="6353363C" w14:textId="77777777" w:rsidR="0080291D" w:rsidRDefault="0080291D">
      <w:pPr>
        <w:spacing w:line="360" w:lineRule="atLeast"/>
      </w:pPr>
    </w:p>
    <w:p w14:paraId="0A548E5E" w14:textId="77777777" w:rsidR="0080291D" w:rsidRDefault="0080291D">
      <w:pPr>
        <w:spacing w:line="360" w:lineRule="atLeast"/>
      </w:pPr>
    </w:p>
    <w:p w14:paraId="68E65535" w14:textId="77777777" w:rsidR="0080291D" w:rsidRDefault="0080291D">
      <w:pPr>
        <w:spacing w:line="360" w:lineRule="atLeast"/>
      </w:pPr>
    </w:p>
    <w:p w14:paraId="675FC0C5" w14:textId="77777777" w:rsidR="0080291D" w:rsidRDefault="0080291D">
      <w:pPr>
        <w:spacing w:line="360" w:lineRule="atLeast"/>
        <w:jc w:val="center"/>
      </w:pPr>
      <w:r>
        <w:t>Seite 2 von 2</w:t>
      </w:r>
    </w:p>
    <w:sectPr w:rsidR="0080291D">
      <w:pgSz w:w="11906" w:h="16838" w:code="9"/>
      <w:pgMar w:top="426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C461" w14:textId="77777777" w:rsidR="00FA15F5" w:rsidRDefault="00FA15F5">
      <w:r>
        <w:separator/>
      </w:r>
    </w:p>
  </w:endnote>
  <w:endnote w:type="continuationSeparator" w:id="0">
    <w:p w14:paraId="7E81D87B" w14:textId="77777777" w:rsidR="00FA15F5" w:rsidRDefault="00F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2643" w14:textId="77777777" w:rsidR="00FA15F5" w:rsidRDefault="00FA15F5">
      <w:r>
        <w:separator/>
      </w:r>
    </w:p>
  </w:footnote>
  <w:footnote w:type="continuationSeparator" w:id="0">
    <w:p w14:paraId="526F34C2" w14:textId="77777777" w:rsidR="00FA15F5" w:rsidRDefault="00FA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47E2"/>
    <w:multiLevelType w:val="hybridMultilevel"/>
    <w:tmpl w:val="DE4ED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35D4"/>
    <w:multiLevelType w:val="hybridMultilevel"/>
    <w:tmpl w:val="6BD8E0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4A99"/>
    <w:multiLevelType w:val="hybridMultilevel"/>
    <w:tmpl w:val="11EE41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20CB"/>
    <w:multiLevelType w:val="hybridMultilevel"/>
    <w:tmpl w:val="92FA0B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11A08"/>
    <w:multiLevelType w:val="hybridMultilevel"/>
    <w:tmpl w:val="D3864C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7BE1"/>
    <w:multiLevelType w:val="hybridMultilevel"/>
    <w:tmpl w:val="98383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947CE"/>
    <w:multiLevelType w:val="hybridMultilevel"/>
    <w:tmpl w:val="E2A8D8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C58F5"/>
    <w:multiLevelType w:val="hybridMultilevel"/>
    <w:tmpl w:val="049423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164659"/>
    <w:multiLevelType w:val="hybridMultilevel"/>
    <w:tmpl w:val="E9121C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77123"/>
    <w:multiLevelType w:val="hybridMultilevel"/>
    <w:tmpl w:val="55DAF0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548185">
    <w:abstractNumId w:val="4"/>
  </w:num>
  <w:num w:numId="2" w16cid:durableId="932275352">
    <w:abstractNumId w:val="8"/>
  </w:num>
  <w:num w:numId="3" w16cid:durableId="1479766783">
    <w:abstractNumId w:val="6"/>
  </w:num>
  <w:num w:numId="4" w16cid:durableId="1609004355">
    <w:abstractNumId w:val="15"/>
  </w:num>
  <w:num w:numId="5" w16cid:durableId="1340961185">
    <w:abstractNumId w:val="13"/>
  </w:num>
  <w:num w:numId="6" w16cid:durableId="75589751">
    <w:abstractNumId w:val="5"/>
  </w:num>
  <w:num w:numId="7" w16cid:durableId="1767650416">
    <w:abstractNumId w:val="0"/>
  </w:num>
  <w:num w:numId="8" w16cid:durableId="2104255046">
    <w:abstractNumId w:val="11"/>
  </w:num>
  <w:num w:numId="9" w16cid:durableId="1503424900">
    <w:abstractNumId w:val="7"/>
  </w:num>
  <w:num w:numId="10" w16cid:durableId="595480144">
    <w:abstractNumId w:val="3"/>
  </w:num>
  <w:num w:numId="11" w16cid:durableId="553933730">
    <w:abstractNumId w:val="14"/>
  </w:num>
  <w:num w:numId="12" w16cid:durableId="806892418">
    <w:abstractNumId w:val="9"/>
  </w:num>
  <w:num w:numId="13" w16cid:durableId="879588045">
    <w:abstractNumId w:val="12"/>
  </w:num>
  <w:num w:numId="14" w16cid:durableId="96485722">
    <w:abstractNumId w:val="2"/>
  </w:num>
  <w:num w:numId="15" w16cid:durableId="1454639118">
    <w:abstractNumId w:val="1"/>
  </w:num>
  <w:num w:numId="16" w16cid:durableId="631910876">
    <w:abstractNumId w:val="16"/>
  </w:num>
  <w:num w:numId="17" w16cid:durableId="2127113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E3F"/>
    <w:rsid w:val="000F0E3F"/>
    <w:rsid w:val="002B25B5"/>
    <w:rsid w:val="0049150B"/>
    <w:rsid w:val="005E73F2"/>
    <w:rsid w:val="006148D7"/>
    <w:rsid w:val="007D7219"/>
    <w:rsid w:val="0080291D"/>
    <w:rsid w:val="00865393"/>
    <w:rsid w:val="00910005"/>
    <w:rsid w:val="00915D4A"/>
    <w:rsid w:val="009B2098"/>
    <w:rsid w:val="009F6D13"/>
    <w:rsid w:val="00C52DA2"/>
    <w:rsid w:val="00CC6884"/>
    <w:rsid w:val="00CF6D98"/>
    <w:rsid w:val="00D2428A"/>
    <w:rsid w:val="00EC6DCE"/>
    <w:rsid w:val="00EF21EE"/>
    <w:rsid w:val="00FA15F5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101A5E74"/>
  <w15:chartTrackingRefBased/>
  <w15:docId w15:val="{09AC8A11-DD98-4DDA-84DA-4B3873F3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color w:val="FF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2005-05-02T10:18:00Z</cp:lastPrinted>
  <dcterms:created xsi:type="dcterms:W3CDTF">2024-03-28T09:07:00Z</dcterms:created>
  <dcterms:modified xsi:type="dcterms:W3CDTF">2024-03-28T09:07:00Z</dcterms:modified>
</cp:coreProperties>
</file>